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B679" w14:textId="77777777" w:rsidR="00B57992" w:rsidRDefault="00180CE1">
      <w:pPr>
        <w:spacing w:before="218"/>
        <w:ind w:left="180" w:right="108"/>
        <w:rPr>
          <w:i/>
        </w:rPr>
      </w:pPr>
      <w:r>
        <w:rPr>
          <w:i/>
        </w:rPr>
        <w:t>This news release contains forward-looking statements. For a description of the related risk factors</w:t>
      </w:r>
      <w:r>
        <w:rPr>
          <w:i/>
          <w:spacing w:val="-2"/>
        </w:rPr>
        <w:t xml:space="preserve"> </w:t>
      </w:r>
      <w:r>
        <w:rPr>
          <w:i/>
        </w:rPr>
        <w:t>and</w:t>
      </w:r>
      <w:r>
        <w:rPr>
          <w:i/>
          <w:spacing w:val="-5"/>
        </w:rPr>
        <w:t xml:space="preserve"> </w:t>
      </w:r>
      <w:r>
        <w:rPr>
          <w:i/>
        </w:rPr>
        <w:t>assumptions,</w:t>
      </w:r>
      <w:r>
        <w:rPr>
          <w:i/>
          <w:spacing w:val="-4"/>
        </w:rPr>
        <w:t xml:space="preserve"> </w:t>
      </w:r>
      <w:r>
        <w:rPr>
          <w:i/>
        </w:rPr>
        <w:t>please</w:t>
      </w:r>
      <w:r>
        <w:rPr>
          <w:i/>
          <w:spacing w:val="-3"/>
        </w:rPr>
        <w:t xml:space="preserve"> </w:t>
      </w:r>
      <w:r>
        <w:rPr>
          <w:i/>
        </w:rPr>
        <w:t>see</w:t>
      </w:r>
      <w:r>
        <w:rPr>
          <w:i/>
          <w:spacing w:val="-5"/>
        </w:rPr>
        <w:t xml:space="preserve"> </w:t>
      </w:r>
      <w:r>
        <w:rPr>
          <w:i/>
        </w:rPr>
        <w:t>the</w:t>
      </w:r>
      <w:r>
        <w:rPr>
          <w:i/>
          <w:spacing w:val="-5"/>
        </w:rPr>
        <w:t xml:space="preserve"> </w:t>
      </w:r>
      <w:r>
        <w:rPr>
          <w:i/>
        </w:rPr>
        <w:t>section</w:t>
      </w:r>
      <w:r>
        <w:rPr>
          <w:i/>
          <w:spacing w:val="-3"/>
        </w:rPr>
        <w:t xml:space="preserve"> </w:t>
      </w:r>
      <w:r>
        <w:rPr>
          <w:i/>
        </w:rPr>
        <w:t>entitled</w:t>
      </w:r>
      <w:r>
        <w:rPr>
          <w:i/>
          <w:spacing w:val="-3"/>
        </w:rPr>
        <w:t xml:space="preserve"> </w:t>
      </w:r>
      <w:r>
        <w:rPr>
          <w:i/>
        </w:rPr>
        <w:t>"Caution</w:t>
      </w:r>
      <w:r>
        <w:rPr>
          <w:i/>
          <w:spacing w:val="-3"/>
        </w:rPr>
        <w:t xml:space="preserve"> </w:t>
      </w:r>
      <w:r>
        <w:rPr>
          <w:i/>
        </w:rPr>
        <w:t>Concerning</w:t>
      </w:r>
      <w:r>
        <w:rPr>
          <w:i/>
          <w:spacing w:val="-3"/>
        </w:rPr>
        <w:t xml:space="preserve"> </w:t>
      </w:r>
      <w:r>
        <w:rPr>
          <w:i/>
        </w:rPr>
        <w:t>Forward-Looking Statements" later in this news release.</w:t>
      </w:r>
    </w:p>
    <w:p w14:paraId="3FB6FDB3" w14:textId="77777777" w:rsidR="00B57992" w:rsidRDefault="00B57992">
      <w:pPr>
        <w:pStyle w:val="Corpsdetexte"/>
        <w:spacing w:before="1"/>
        <w:ind w:left="0"/>
        <w:rPr>
          <w:i/>
        </w:rPr>
      </w:pPr>
    </w:p>
    <w:p w14:paraId="6A2F8947" w14:textId="24FE7E65" w:rsidR="00B57992" w:rsidRDefault="00180CE1">
      <w:pPr>
        <w:pStyle w:val="Titre"/>
      </w:pPr>
      <w:r>
        <w:t>Bell</w:t>
      </w:r>
      <w:r>
        <w:rPr>
          <w:spacing w:val="-2"/>
        </w:rPr>
        <w:t xml:space="preserve"> </w:t>
      </w:r>
      <w:r>
        <w:t>announces</w:t>
      </w:r>
      <w:r>
        <w:rPr>
          <w:spacing w:val="-2"/>
        </w:rPr>
        <w:t xml:space="preserve"> </w:t>
      </w:r>
      <w:r>
        <w:t>offering</w:t>
      </w:r>
      <w:r w:rsidR="00B24115">
        <w:t>s</w:t>
      </w:r>
      <w:r>
        <w:rPr>
          <w:spacing w:val="-1"/>
        </w:rPr>
        <w:t xml:space="preserve"> </w:t>
      </w:r>
      <w:r>
        <w:t>of</w:t>
      </w:r>
      <w:r>
        <w:rPr>
          <w:spacing w:val="-1"/>
        </w:rPr>
        <w:t xml:space="preserve"> </w:t>
      </w:r>
      <w:r w:rsidR="00CB3A31">
        <w:rPr>
          <w:spacing w:val="-1"/>
        </w:rPr>
        <w:t>Canadian MTN Debentures and US Notes</w:t>
      </w:r>
    </w:p>
    <w:p w14:paraId="3CB24D0C" w14:textId="7F871FF7" w:rsidR="00B57992" w:rsidRDefault="00180CE1">
      <w:pPr>
        <w:pStyle w:val="Corpsdetexte"/>
        <w:spacing w:before="252"/>
        <w:ind w:right="108"/>
      </w:pPr>
      <w:r>
        <w:t>MONTRÉAL,</w:t>
      </w:r>
      <w:r w:rsidR="000F5F2C">
        <w:t xml:space="preserve"> Ma</w:t>
      </w:r>
      <w:r w:rsidR="00CB3A31">
        <w:t>y</w:t>
      </w:r>
      <w:r w:rsidRPr="00D13D65">
        <w:t xml:space="preserve"> </w:t>
      </w:r>
      <w:r w:rsidR="0091162B" w:rsidRPr="00D13D65">
        <w:rPr>
          <w:rStyle w:val="Prompt"/>
          <w:color w:val="000000" w:themeColor="text1"/>
        </w:rPr>
        <w:t>27</w:t>
      </w:r>
      <w:r>
        <w:t>, 202</w:t>
      </w:r>
      <w:r w:rsidR="000F5F2C">
        <w:t>6</w:t>
      </w:r>
      <w:r>
        <w:t xml:space="preserve"> - Bell Canada (</w:t>
      </w:r>
      <w:r w:rsidR="009F5F89" w:rsidRPr="00B12705">
        <w:rPr>
          <w:szCs w:val="18"/>
        </w:rPr>
        <w:t>“</w:t>
      </w:r>
      <w:r>
        <w:t>Bell</w:t>
      </w:r>
      <w:r w:rsidR="009F5F89" w:rsidRPr="00B12705">
        <w:rPr>
          <w:szCs w:val="18"/>
        </w:rPr>
        <w:t>”</w:t>
      </w:r>
      <w:r>
        <w:t>) today announced the public offering in Canada</w:t>
      </w:r>
      <w:r>
        <w:rPr>
          <w:spacing w:val="-3"/>
        </w:rPr>
        <w:t xml:space="preserve"> </w:t>
      </w:r>
      <w:r>
        <w:t>of</w:t>
      </w:r>
      <w:r>
        <w:rPr>
          <w:spacing w:val="-2"/>
        </w:rPr>
        <w:t xml:space="preserve"> </w:t>
      </w:r>
      <w:proofErr w:type="spellStart"/>
      <w:r>
        <w:t>Cdn</w:t>
      </w:r>
      <w:proofErr w:type="spellEnd"/>
      <w:r>
        <w:rPr>
          <w:spacing w:val="-5"/>
        </w:rPr>
        <w:t xml:space="preserve"> </w:t>
      </w:r>
      <w:r w:rsidR="00015A50">
        <w:t>$1.6 billion</w:t>
      </w:r>
      <w:r w:rsidR="00015A50">
        <w:rPr>
          <w:spacing w:val="-2"/>
        </w:rPr>
        <w:t xml:space="preserve"> </w:t>
      </w:r>
      <w:r>
        <w:t>aggregate</w:t>
      </w:r>
      <w:r>
        <w:rPr>
          <w:spacing w:val="-3"/>
        </w:rPr>
        <w:t xml:space="preserve"> </w:t>
      </w:r>
      <w:r>
        <w:t>principal</w:t>
      </w:r>
      <w:r>
        <w:rPr>
          <w:spacing w:val="-3"/>
        </w:rPr>
        <w:t xml:space="preserve"> </w:t>
      </w:r>
      <w:r>
        <w:t>amount of</w:t>
      </w:r>
      <w:r>
        <w:rPr>
          <w:spacing w:val="-4"/>
        </w:rPr>
        <w:t xml:space="preserve"> </w:t>
      </w:r>
      <w:r>
        <w:t>MTN</w:t>
      </w:r>
      <w:r>
        <w:rPr>
          <w:spacing w:val="-4"/>
        </w:rPr>
        <w:t xml:space="preserve"> </w:t>
      </w:r>
      <w:r>
        <w:t>Debentures</w:t>
      </w:r>
      <w:r w:rsidR="00CB3A31">
        <w:t xml:space="preserve"> in two series</w:t>
      </w:r>
      <w:r>
        <w:rPr>
          <w:spacing w:val="-3"/>
        </w:rPr>
        <w:t xml:space="preserve"> </w:t>
      </w:r>
      <w:r>
        <w:t xml:space="preserve">pursuant to its </w:t>
      </w:r>
      <w:proofErr w:type="gramStart"/>
      <w:r>
        <w:t>medium term</w:t>
      </w:r>
      <w:proofErr w:type="gramEnd"/>
      <w:r>
        <w:t xml:space="preserve"> notes (</w:t>
      </w:r>
      <w:r w:rsidR="009F5F89" w:rsidRPr="00B12705">
        <w:rPr>
          <w:szCs w:val="18"/>
        </w:rPr>
        <w:t>“</w:t>
      </w:r>
      <w:r>
        <w:t>MTN</w:t>
      </w:r>
      <w:r w:rsidR="009F5F89" w:rsidRPr="00B12705">
        <w:rPr>
          <w:szCs w:val="18"/>
        </w:rPr>
        <w:t>”</w:t>
      </w:r>
      <w:r>
        <w:t>) program</w:t>
      </w:r>
      <w:r w:rsidR="00CB3A31">
        <w:t xml:space="preserve"> (the </w:t>
      </w:r>
      <w:r w:rsidR="009F5F89" w:rsidRPr="00B12705">
        <w:rPr>
          <w:szCs w:val="18"/>
        </w:rPr>
        <w:t>“</w:t>
      </w:r>
      <w:r w:rsidR="00CB3A31">
        <w:t>Canadian Offering</w:t>
      </w:r>
      <w:r w:rsidR="009F5F89" w:rsidRPr="00B12705">
        <w:rPr>
          <w:szCs w:val="18"/>
        </w:rPr>
        <w:t>”</w:t>
      </w:r>
      <w:r w:rsidR="00CB3A31">
        <w:t>)</w:t>
      </w:r>
      <w:r>
        <w:t>.</w:t>
      </w:r>
      <w:r w:rsidR="00CB3A31">
        <w:t xml:space="preserve"> The </w:t>
      </w:r>
      <w:proofErr w:type="spellStart"/>
      <w:r w:rsidR="00CB3A31">
        <w:t>Cdn</w:t>
      </w:r>
      <w:proofErr w:type="spellEnd"/>
      <w:r w:rsidR="00CB3A31">
        <w:t xml:space="preserve"> </w:t>
      </w:r>
      <w:r w:rsidR="00A7079B">
        <w:t>$900</w:t>
      </w:r>
      <w:r w:rsidR="00A7079B">
        <w:rPr>
          <w:b/>
          <w:bCs/>
          <w:color w:val="000000" w:themeColor="text1"/>
        </w:rPr>
        <w:t> </w:t>
      </w:r>
      <w:r w:rsidR="00A7079B">
        <w:rPr>
          <w:color w:val="000000" w:themeColor="text1"/>
        </w:rPr>
        <w:t>million</w:t>
      </w:r>
      <w:r w:rsidR="00A7079B">
        <w:rPr>
          <w:b/>
          <w:bCs/>
          <w:color w:val="000000" w:themeColor="text1"/>
        </w:rPr>
        <w:t xml:space="preserve"> </w:t>
      </w:r>
      <w:r w:rsidR="00A7079B" w:rsidRPr="00687B74">
        <w:rPr>
          <w:color w:val="000000" w:themeColor="text1"/>
        </w:rPr>
        <w:t>4.70</w:t>
      </w:r>
      <w:r w:rsidR="00A7079B" w:rsidRPr="00B24115">
        <w:rPr>
          <w:color w:val="000000" w:themeColor="text1"/>
        </w:rPr>
        <w:t>%</w:t>
      </w:r>
      <w:r w:rsidR="00A7079B">
        <w:rPr>
          <w:b/>
          <w:bCs/>
          <w:color w:val="000000" w:themeColor="text1"/>
        </w:rPr>
        <w:t xml:space="preserve"> </w:t>
      </w:r>
      <w:r w:rsidR="00A7079B" w:rsidRPr="00CB3A31">
        <w:rPr>
          <w:color w:val="000000" w:themeColor="text1"/>
        </w:rPr>
        <w:t>MTN</w:t>
      </w:r>
      <w:r w:rsidR="00A7079B" w:rsidDel="00A7079B">
        <w:t xml:space="preserve"> </w:t>
      </w:r>
      <w:r w:rsidR="00CB3A31" w:rsidRPr="00CB3A31">
        <w:rPr>
          <w:color w:val="000000" w:themeColor="text1"/>
        </w:rPr>
        <w:t>Debentures</w:t>
      </w:r>
      <w:r w:rsidR="00CB3A31">
        <w:rPr>
          <w:color w:val="000000" w:themeColor="text1"/>
        </w:rPr>
        <w:t xml:space="preserve">, Series M-69, will mature on </w:t>
      </w:r>
      <w:r w:rsidR="00D13D65" w:rsidRPr="00D13D65">
        <w:rPr>
          <w:color w:val="000000" w:themeColor="text1"/>
        </w:rPr>
        <w:t>November 15</w:t>
      </w:r>
      <w:r w:rsidR="00CB3A31" w:rsidRPr="00CB3A31">
        <w:rPr>
          <w:color w:val="000000" w:themeColor="text1"/>
        </w:rPr>
        <w:t>, 20</w:t>
      </w:r>
      <w:r w:rsidR="00E238A1" w:rsidRPr="00D13D65">
        <w:rPr>
          <w:rStyle w:val="Prompt"/>
          <w:color w:val="000000" w:themeColor="text1"/>
        </w:rPr>
        <w:t>36</w:t>
      </w:r>
      <w:r w:rsidR="00CB3A31" w:rsidRPr="00CB3A31">
        <w:rPr>
          <w:color w:val="000000" w:themeColor="text1"/>
        </w:rPr>
        <w:t>, and will</w:t>
      </w:r>
      <w:r w:rsidR="00CB3A31">
        <w:rPr>
          <w:color w:val="000000" w:themeColor="text1"/>
        </w:rPr>
        <w:t xml:space="preserve"> be issued at a </w:t>
      </w:r>
      <w:r w:rsidR="00A7079B">
        <w:rPr>
          <w:color w:val="000000" w:themeColor="text1"/>
        </w:rPr>
        <w:t xml:space="preserve">price of </w:t>
      </w:r>
      <w:proofErr w:type="spellStart"/>
      <w:r w:rsidR="00A7079B">
        <w:rPr>
          <w:color w:val="000000" w:themeColor="text1"/>
        </w:rPr>
        <w:t>Cdn</w:t>
      </w:r>
      <w:proofErr w:type="spellEnd"/>
      <w:r w:rsidR="00A7079B">
        <w:rPr>
          <w:color w:val="000000" w:themeColor="text1"/>
        </w:rPr>
        <w:t xml:space="preserve"> $99.815</w:t>
      </w:r>
      <w:r w:rsidR="00A7079B">
        <w:t xml:space="preserve"> per $100 </w:t>
      </w:r>
      <w:r w:rsidR="00CB3A31">
        <w:t xml:space="preserve">principal amount for a yield to maturity </w:t>
      </w:r>
      <w:r w:rsidR="00487AC1">
        <w:t xml:space="preserve">of 4.723%. </w:t>
      </w:r>
      <w:r w:rsidR="00CB3A31">
        <w:t xml:space="preserve">The </w:t>
      </w:r>
      <w:proofErr w:type="spellStart"/>
      <w:r w:rsidR="00487AC1">
        <w:t>Cdn</w:t>
      </w:r>
      <w:proofErr w:type="spellEnd"/>
      <w:r w:rsidR="00487AC1">
        <w:t xml:space="preserve"> $700 million 5.30% MTN</w:t>
      </w:r>
      <w:r w:rsidR="00CB3A31">
        <w:t xml:space="preserve"> Debentures, Series M-70, will mature on </w:t>
      </w:r>
      <w:r w:rsidR="00D13D65" w:rsidRPr="00D13D65">
        <w:rPr>
          <w:color w:val="000000" w:themeColor="text1"/>
        </w:rPr>
        <w:t>June 3</w:t>
      </w:r>
      <w:r w:rsidR="00CB3A31">
        <w:t>, 20</w:t>
      </w:r>
      <w:r w:rsidR="00E238A1" w:rsidRPr="00D13D65">
        <w:rPr>
          <w:rStyle w:val="Prompt"/>
          <w:color w:val="000000" w:themeColor="text1"/>
        </w:rPr>
        <w:t>56</w:t>
      </w:r>
      <w:r w:rsidR="00CB3A31">
        <w:t xml:space="preserve">, and will be issued at a price of </w:t>
      </w:r>
      <w:proofErr w:type="spellStart"/>
      <w:r w:rsidR="00F31A55">
        <w:t>Cdn</w:t>
      </w:r>
      <w:proofErr w:type="spellEnd"/>
      <w:r w:rsidR="00F31A55">
        <w:t xml:space="preserve"> $99.568 </w:t>
      </w:r>
      <w:r w:rsidR="00CB3A31">
        <w:t xml:space="preserve">per </w:t>
      </w:r>
      <w:r w:rsidR="00B24115">
        <w:t>$</w:t>
      </w:r>
      <w:r w:rsidR="00CB3A31">
        <w:t xml:space="preserve">100 principal amount for a yield to maturity of </w:t>
      </w:r>
      <w:r w:rsidR="00F31A55">
        <w:t xml:space="preserve">5.329%. </w:t>
      </w:r>
      <w:r w:rsidR="00CB3A31">
        <w:t>The MTN Debentures are being publicly offered in all provinces of Canada through a syndicate of agents. Closing of the offering of the MTN Debentures is expected to occur on</w:t>
      </w:r>
      <w:r w:rsidR="00D13D65">
        <w:t xml:space="preserve"> June</w:t>
      </w:r>
      <w:r w:rsidR="00CB3A31">
        <w:t xml:space="preserve"> </w:t>
      </w:r>
      <w:r w:rsidR="00D13D65" w:rsidRPr="00CA3617">
        <w:rPr>
          <w:rStyle w:val="Prompt"/>
          <w:color w:val="000000" w:themeColor="text1"/>
        </w:rPr>
        <w:t>3</w:t>
      </w:r>
      <w:r w:rsidR="00CB3A31">
        <w:t xml:space="preserve">, 2026, subject to </w:t>
      </w:r>
      <w:r w:rsidR="001B2185">
        <w:t xml:space="preserve">the satisfaction of </w:t>
      </w:r>
      <w:r w:rsidR="00CB3A31">
        <w:t xml:space="preserve">customary closing conditions. The MTN Debentures will be fully and unconditionally guaranteed by BCE Inc. </w:t>
      </w:r>
    </w:p>
    <w:p w14:paraId="4CFBC08F" w14:textId="7F70D2DB" w:rsidR="00CB3A31" w:rsidRDefault="00CB3A31">
      <w:pPr>
        <w:pStyle w:val="Corpsdetexte"/>
        <w:spacing w:before="252"/>
        <w:ind w:right="108"/>
      </w:pPr>
      <w:r>
        <w:t xml:space="preserve">Bell also announced today the public offering in the United States of </w:t>
      </w:r>
      <w:r w:rsidR="00CB4C86">
        <w:t>US $</w:t>
      </w:r>
      <w:r w:rsidR="00CB4C86" w:rsidRPr="00200D20">
        <w:rPr>
          <w:color w:val="000000" w:themeColor="text1"/>
        </w:rPr>
        <w:t>650</w:t>
      </w:r>
      <w:r w:rsidR="00CB4C86">
        <w:rPr>
          <w:b/>
          <w:bCs/>
        </w:rPr>
        <w:t xml:space="preserve"> </w:t>
      </w:r>
      <w:r w:rsidR="00CB4C86" w:rsidRPr="00687B74">
        <w:t>million</w:t>
      </w:r>
      <w:r w:rsidR="00CB4C86" w:rsidRPr="00200D20">
        <w:rPr>
          <w:color w:val="000000" w:themeColor="text1"/>
        </w:rPr>
        <w:t xml:space="preserve"> </w:t>
      </w:r>
      <w:r w:rsidR="00CB4C86">
        <w:t xml:space="preserve">aggregate </w:t>
      </w:r>
      <w:r>
        <w:t xml:space="preserve">principal amount of </w:t>
      </w:r>
      <w:r w:rsidR="00B24115">
        <w:t>U.S. senior notes (</w:t>
      </w:r>
      <w:r w:rsidR="009F5F89" w:rsidRPr="00B12705">
        <w:rPr>
          <w:szCs w:val="18"/>
        </w:rPr>
        <w:t>“</w:t>
      </w:r>
      <w:r>
        <w:t>Notes</w:t>
      </w:r>
      <w:r w:rsidR="009F5F89" w:rsidRPr="00B12705">
        <w:rPr>
          <w:szCs w:val="18"/>
        </w:rPr>
        <w:t>”</w:t>
      </w:r>
      <w:r w:rsidR="00B24115">
        <w:t>)</w:t>
      </w:r>
      <w:r>
        <w:t xml:space="preserve"> in </w:t>
      </w:r>
      <w:r w:rsidR="009F40CB" w:rsidRPr="009F40CB">
        <w:t>one</w:t>
      </w:r>
      <w:r w:rsidRPr="00B24115">
        <w:rPr>
          <w:b/>
          <w:bCs/>
        </w:rPr>
        <w:t xml:space="preserve"> </w:t>
      </w:r>
      <w:r>
        <w:t xml:space="preserve">series (the </w:t>
      </w:r>
      <w:r w:rsidR="009F5F89" w:rsidRPr="00B12705">
        <w:rPr>
          <w:szCs w:val="18"/>
        </w:rPr>
        <w:t>“</w:t>
      </w:r>
      <w:r>
        <w:t>US Offering</w:t>
      </w:r>
      <w:r w:rsidR="009F5F89" w:rsidRPr="00B12705">
        <w:rPr>
          <w:szCs w:val="18"/>
        </w:rPr>
        <w:t>”</w:t>
      </w:r>
      <w:r>
        <w:t xml:space="preserve">). The </w:t>
      </w:r>
      <w:r w:rsidR="00CB4C86">
        <w:t>US $</w:t>
      </w:r>
      <w:r w:rsidR="00CB4C86" w:rsidRPr="00200D20">
        <w:rPr>
          <w:color w:val="000000" w:themeColor="text1"/>
        </w:rPr>
        <w:t>650 million</w:t>
      </w:r>
      <w:r w:rsidR="00CB4C86" w:rsidRPr="006945FB">
        <w:t xml:space="preserve"> </w:t>
      </w:r>
      <w:r w:rsidR="00CB4C86" w:rsidRPr="00200D20">
        <w:rPr>
          <w:color w:val="000000" w:themeColor="text1"/>
        </w:rPr>
        <w:t>5.450</w:t>
      </w:r>
      <w:r w:rsidR="00CB4C86">
        <w:t xml:space="preserve">% </w:t>
      </w:r>
      <w:r>
        <w:t>Series US-</w:t>
      </w:r>
      <w:r w:rsidR="00B24115" w:rsidRPr="00B24115">
        <w:rPr>
          <w:color w:val="000000" w:themeColor="text1"/>
        </w:rPr>
        <w:t>11</w:t>
      </w:r>
      <w:r w:rsidR="00B24115">
        <w:rPr>
          <w:b/>
          <w:bCs/>
          <w:color w:val="000000" w:themeColor="text1"/>
        </w:rPr>
        <w:t xml:space="preserve"> </w:t>
      </w:r>
      <w:r>
        <w:t>Notes will mature on</w:t>
      </w:r>
      <w:r w:rsidR="00D13D65">
        <w:t xml:space="preserve"> </w:t>
      </w:r>
      <w:r w:rsidR="00472322">
        <w:t>November 15</w:t>
      </w:r>
      <w:r w:rsidR="004E6E0A">
        <w:t>, 20</w:t>
      </w:r>
      <w:r w:rsidR="00D13D65" w:rsidRPr="00D13D65">
        <w:rPr>
          <w:color w:val="000000" w:themeColor="text1"/>
        </w:rPr>
        <w:t>36</w:t>
      </w:r>
      <w:r w:rsidR="004E6E0A">
        <w:t xml:space="preserve">, and will be issued at a price of </w:t>
      </w:r>
      <w:r w:rsidR="00526773">
        <w:t>US $</w:t>
      </w:r>
      <w:r w:rsidR="00526773" w:rsidRPr="006C067E">
        <w:rPr>
          <w:color w:val="000000" w:themeColor="text1"/>
        </w:rPr>
        <w:t>99.917</w:t>
      </w:r>
      <w:r w:rsidR="00526773">
        <w:t xml:space="preserve"> </w:t>
      </w:r>
      <w:r w:rsidR="004E6E0A">
        <w:t xml:space="preserve">per </w:t>
      </w:r>
      <w:r w:rsidR="00E85A56">
        <w:t>$</w:t>
      </w:r>
      <w:r w:rsidR="004E6E0A">
        <w:t xml:space="preserve">100 principal amount for a yield to maturity of </w:t>
      </w:r>
      <w:r w:rsidR="00526773" w:rsidRPr="006C067E">
        <w:rPr>
          <w:color w:val="000000" w:themeColor="text1"/>
        </w:rPr>
        <w:t>5.461</w:t>
      </w:r>
      <w:r w:rsidR="00526773">
        <w:t xml:space="preserve">%. </w:t>
      </w:r>
      <w:r w:rsidR="004E6E0A">
        <w:t xml:space="preserve">The Notes are being publicly offered in the United States through a syndicate of underwriters. Closing of the offering of the Notes is expected to occur on </w:t>
      </w:r>
      <w:r w:rsidR="00D13D65" w:rsidRPr="000254E1">
        <w:t xml:space="preserve">June </w:t>
      </w:r>
      <w:r w:rsidR="000254E1" w:rsidRPr="000254E1">
        <w:rPr>
          <w:color w:val="000000" w:themeColor="text1"/>
        </w:rPr>
        <w:t>5</w:t>
      </w:r>
      <w:r w:rsidR="004E6E0A">
        <w:t xml:space="preserve">, 2026, subject to </w:t>
      </w:r>
      <w:r w:rsidR="001B2185">
        <w:t xml:space="preserve">the satisfaction of </w:t>
      </w:r>
      <w:r w:rsidR="004E6E0A">
        <w:t xml:space="preserve">customary closing conditions. The Notes will be fully and unconditionally guaranteed by BCE Inc. </w:t>
      </w:r>
    </w:p>
    <w:p w14:paraId="2C449212" w14:textId="709E834B" w:rsidR="00B57992" w:rsidRPr="006707DB" w:rsidRDefault="00B24115" w:rsidP="006707DB">
      <w:pPr>
        <w:pStyle w:val="Corpsdetexte"/>
        <w:spacing w:before="252"/>
        <w:ind w:right="108"/>
        <w:rPr>
          <w:b/>
          <w:bCs/>
          <w:i/>
          <w:iCs/>
        </w:rPr>
      </w:pPr>
      <w:r>
        <w:t xml:space="preserve">Bell Canada intends to use </w:t>
      </w:r>
      <w:r w:rsidR="004E6E0A">
        <w:t>the net proceeds of the Canadian Offering and the US Offering</w:t>
      </w:r>
      <w:r w:rsidR="00AC4C56">
        <w:t xml:space="preserve"> </w:t>
      </w:r>
      <w:r w:rsidR="000A5A6F">
        <w:t>(i)</w:t>
      </w:r>
      <w:r w:rsidR="00F40C80">
        <w:t> </w:t>
      </w:r>
      <w:r w:rsidR="00CA3617">
        <w:t xml:space="preserve">to </w:t>
      </w:r>
      <w:r w:rsidR="00AC4C56">
        <w:t xml:space="preserve">repurchase, redeem or repay, as applicable, senior and/or subordinated indebtedness of </w:t>
      </w:r>
      <w:r w:rsidR="00F40C80">
        <w:t>Bell</w:t>
      </w:r>
      <w:r w:rsidR="00AC4C56">
        <w:t xml:space="preserve">, </w:t>
      </w:r>
      <w:r w:rsidR="00AC4C56" w:rsidRPr="00CA3617">
        <w:t xml:space="preserve">including but not limited </w:t>
      </w:r>
      <w:r w:rsidR="00D61642" w:rsidRPr="00CA3617">
        <w:t>to</w:t>
      </w:r>
      <w:r w:rsidR="006707DB" w:rsidRPr="00CA3617">
        <w:t xml:space="preserve"> </w:t>
      </w:r>
      <w:r w:rsidR="00CA3617">
        <w:t xml:space="preserve">those </w:t>
      </w:r>
      <w:r w:rsidR="006707DB" w:rsidRPr="00CA3617">
        <w:t>securities tendered in Bell’s tender offer</w:t>
      </w:r>
      <w:r w:rsidR="00F40C80" w:rsidRPr="00CA3617">
        <w:t>s</w:t>
      </w:r>
      <w:r w:rsidR="006707DB" w:rsidRPr="00CA3617">
        <w:t xml:space="preserve"> commenced on May </w:t>
      </w:r>
      <w:r w:rsidR="000254E1" w:rsidRPr="006945FB">
        <w:rPr>
          <w:rStyle w:val="Prompt"/>
          <w:color w:val="000000" w:themeColor="text1"/>
        </w:rPr>
        <w:t>27</w:t>
      </w:r>
      <w:r w:rsidR="006707DB" w:rsidRPr="006945FB">
        <w:t>,</w:t>
      </w:r>
      <w:r w:rsidR="006707DB" w:rsidRPr="00CA3617">
        <w:t xml:space="preserve"> 2026 to purchase for cash certain of its </w:t>
      </w:r>
      <w:r w:rsidR="00F40C80" w:rsidRPr="00CA3617">
        <w:t>Canadian dollar and US dollar denominated debt securities</w:t>
      </w:r>
      <w:r w:rsidR="006707DB" w:rsidRPr="00CA3617">
        <w:rPr>
          <w:i/>
          <w:iCs/>
        </w:rPr>
        <w:t xml:space="preserve"> </w:t>
      </w:r>
      <w:r w:rsidR="00AC4C56" w:rsidRPr="00CA3617">
        <w:t xml:space="preserve">(collectively, the </w:t>
      </w:r>
      <w:r w:rsidR="009F5F89" w:rsidRPr="00CA3617">
        <w:rPr>
          <w:szCs w:val="18"/>
        </w:rPr>
        <w:t>“</w:t>
      </w:r>
      <w:r w:rsidR="00AC4C56" w:rsidRPr="00CA3617">
        <w:t>Tender Offers</w:t>
      </w:r>
      <w:r w:rsidR="009F5F89" w:rsidRPr="00CA3617">
        <w:rPr>
          <w:szCs w:val="18"/>
        </w:rPr>
        <w:t>”</w:t>
      </w:r>
      <w:r w:rsidR="00AC4C56" w:rsidRPr="00CA3617">
        <w:t>),</w:t>
      </w:r>
      <w:r w:rsidR="00AC4C56">
        <w:t xml:space="preserve"> and (ii) for general corporate purposes. </w:t>
      </w:r>
      <w:r w:rsidR="009A1D2F">
        <w:t xml:space="preserve">The closings of the offerings of each series of MTN Debentures and </w:t>
      </w:r>
      <w:r w:rsidRPr="009F40CB">
        <w:t>of</w:t>
      </w:r>
      <w:r w:rsidR="009F40CB" w:rsidRPr="009F40CB">
        <w:t xml:space="preserve"> the</w:t>
      </w:r>
      <w:r w:rsidRPr="00B24115">
        <w:rPr>
          <w:b/>
          <w:bCs/>
        </w:rPr>
        <w:t xml:space="preserve"> </w:t>
      </w:r>
      <w:r w:rsidR="009A1D2F">
        <w:t>Notes are not conditioned on any of the others.</w:t>
      </w:r>
    </w:p>
    <w:p w14:paraId="0A7B0355" w14:textId="66569304" w:rsidR="00B57992" w:rsidRPr="00B24115" w:rsidRDefault="00180CE1">
      <w:pPr>
        <w:pStyle w:val="Corpsdetexte"/>
        <w:spacing w:before="252"/>
        <w:ind w:right="108"/>
        <w:rPr>
          <w:color w:val="000000" w:themeColor="text1"/>
        </w:rPr>
      </w:pPr>
      <w:r>
        <w:t>The MTN Debentures are being issued pursuant to a short form base shelf prospectus dated</w:t>
      </w:r>
      <w:r w:rsidR="009A1D2F">
        <w:t xml:space="preserve"> April 2</w:t>
      </w:r>
      <w:r>
        <w:t xml:space="preserve">, </w:t>
      </w:r>
      <w:proofErr w:type="gramStart"/>
      <w:r>
        <w:t>202</w:t>
      </w:r>
      <w:r w:rsidR="009A1D2F">
        <w:t>6</w:t>
      </w:r>
      <w:proofErr w:type="gramEnd"/>
      <w:r w:rsidR="007E0240">
        <w:t xml:space="preserve"> </w:t>
      </w:r>
      <w:r>
        <w:t xml:space="preserve">and a prospectus supplement dated </w:t>
      </w:r>
      <w:r w:rsidR="007E0240">
        <w:t>April 6</w:t>
      </w:r>
      <w:r>
        <w:t>, 202</w:t>
      </w:r>
      <w:r w:rsidR="007E0240">
        <w:t>6</w:t>
      </w:r>
      <w:r>
        <w:t>. Bell Canada will file a pricing</w:t>
      </w:r>
      <w:r>
        <w:rPr>
          <w:spacing w:val="-2"/>
        </w:rPr>
        <w:t xml:space="preserve"> </w:t>
      </w:r>
      <w:r w:rsidRPr="00B24115">
        <w:rPr>
          <w:color w:val="000000" w:themeColor="text1"/>
        </w:rPr>
        <w:t>supplement</w:t>
      </w:r>
      <w:r w:rsidRPr="00B24115">
        <w:rPr>
          <w:color w:val="000000" w:themeColor="text1"/>
          <w:spacing w:val="-3"/>
        </w:rPr>
        <w:t xml:space="preserve"> </w:t>
      </w:r>
      <w:r w:rsidRPr="00B24115">
        <w:rPr>
          <w:color w:val="000000" w:themeColor="text1"/>
        </w:rPr>
        <w:t>relating</w:t>
      </w:r>
      <w:r w:rsidRPr="00B24115">
        <w:rPr>
          <w:color w:val="000000" w:themeColor="text1"/>
          <w:spacing w:val="-2"/>
        </w:rPr>
        <w:t xml:space="preserve"> </w:t>
      </w:r>
      <w:r w:rsidRPr="00B24115">
        <w:rPr>
          <w:color w:val="000000" w:themeColor="text1"/>
        </w:rPr>
        <w:t>to</w:t>
      </w:r>
      <w:r w:rsidRPr="00B24115">
        <w:rPr>
          <w:color w:val="000000" w:themeColor="text1"/>
          <w:spacing w:val="-4"/>
        </w:rPr>
        <w:t xml:space="preserve"> </w:t>
      </w:r>
      <w:r w:rsidRPr="00B24115">
        <w:rPr>
          <w:color w:val="000000" w:themeColor="text1"/>
        </w:rPr>
        <w:t>this</w:t>
      </w:r>
      <w:r w:rsidRPr="00B24115">
        <w:rPr>
          <w:color w:val="000000" w:themeColor="text1"/>
          <w:spacing w:val="-4"/>
        </w:rPr>
        <w:t xml:space="preserve"> </w:t>
      </w:r>
      <w:r w:rsidRPr="00B24115">
        <w:rPr>
          <w:color w:val="000000" w:themeColor="text1"/>
        </w:rPr>
        <w:t>issue</w:t>
      </w:r>
      <w:r w:rsidRPr="00B24115">
        <w:rPr>
          <w:color w:val="000000" w:themeColor="text1"/>
          <w:spacing w:val="-2"/>
        </w:rPr>
        <w:t xml:space="preserve"> </w:t>
      </w:r>
      <w:r w:rsidRPr="00B24115">
        <w:rPr>
          <w:color w:val="000000" w:themeColor="text1"/>
        </w:rPr>
        <w:t>with</w:t>
      </w:r>
      <w:r w:rsidRPr="00B24115">
        <w:rPr>
          <w:color w:val="000000" w:themeColor="text1"/>
          <w:spacing w:val="-4"/>
        </w:rPr>
        <w:t xml:space="preserve"> </w:t>
      </w:r>
      <w:r w:rsidRPr="00B24115">
        <w:rPr>
          <w:color w:val="000000" w:themeColor="text1"/>
        </w:rPr>
        <w:t>the</w:t>
      </w:r>
      <w:r w:rsidRPr="00B24115">
        <w:rPr>
          <w:color w:val="000000" w:themeColor="text1"/>
          <w:spacing w:val="-7"/>
        </w:rPr>
        <w:t xml:space="preserve"> </w:t>
      </w:r>
      <w:proofErr w:type="gramStart"/>
      <w:r w:rsidRPr="00B24115">
        <w:rPr>
          <w:color w:val="000000" w:themeColor="text1"/>
        </w:rPr>
        <w:t>securities</w:t>
      </w:r>
      <w:proofErr w:type="gramEnd"/>
      <w:r w:rsidRPr="00B24115">
        <w:rPr>
          <w:color w:val="000000" w:themeColor="text1"/>
          <w:spacing w:val="-4"/>
        </w:rPr>
        <w:t xml:space="preserve"> </w:t>
      </w:r>
      <w:r w:rsidRPr="00B24115">
        <w:rPr>
          <w:color w:val="000000" w:themeColor="text1"/>
        </w:rPr>
        <w:t>regulatory</w:t>
      </w:r>
      <w:r w:rsidRPr="00B24115">
        <w:rPr>
          <w:color w:val="000000" w:themeColor="text1"/>
          <w:spacing w:val="-2"/>
        </w:rPr>
        <w:t xml:space="preserve"> </w:t>
      </w:r>
      <w:r w:rsidRPr="00B24115">
        <w:rPr>
          <w:color w:val="000000" w:themeColor="text1"/>
        </w:rPr>
        <w:t>authorities</w:t>
      </w:r>
      <w:r w:rsidRPr="00B24115">
        <w:rPr>
          <w:color w:val="000000" w:themeColor="text1"/>
          <w:spacing w:val="-2"/>
        </w:rPr>
        <w:t xml:space="preserve"> </w:t>
      </w:r>
      <w:r w:rsidRPr="00B24115">
        <w:rPr>
          <w:color w:val="000000" w:themeColor="text1"/>
        </w:rPr>
        <w:t>in</w:t>
      </w:r>
      <w:r w:rsidRPr="00B24115">
        <w:rPr>
          <w:color w:val="000000" w:themeColor="text1"/>
          <w:spacing w:val="-3"/>
        </w:rPr>
        <w:t xml:space="preserve"> </w:t>
      </w:r>
      <w:r w:rsidRPr="00B24115">
        <w:rPr>
          <w:color w:val="000000" w:themeColor="text1"/>
        </w:rPr>
        <w:t>all</w:t>
      </w:r>
      <w:r w:rsidRPr="00B24115">
        <w:rPr>
          <w:color w:val="000000" w:themeColor="text1"/>
          <w:spacing w:val="-2"/>
        </w:rPr>
        <w:t xml:space="preserve"> </w:t>
      </w:r>
      <w:r w:rsidRPr="00B24115">
        <w:rPr>
          <w:color w:val="000000" w:themeColor="text1"/>
        </w:rPr>
        <w:t>provinces of Canada.</w:t>
      </w:r>
    </w:p>
    <w:p w14:paraId="35F23019" w14:textId="060D9934" w:rsidR="007E0240" w:rsidRPr="00B24115" w:rsidRDefault="007E0240">
      <w:pPr>
        <w:pStyle w:val="Corpsdetexte"/>
        <w:spacing w:before="252"/>
        <w:ind w:right="108"/>
        <w:rPr>
          <w:color w:val="000000" w:themeColor="text1"/>
        </w:rPr>
      </w:pPr>
      <w:r w:rsidRPr="00B24115">
        <w:rPr>
          <w:color w:val="000000" w:themeColor="text1"/>
        </w:rPr>
        <w:t xml:space="preserve">The US Offering is being made in the United States pursuant to a prospectus supplement dated </w:t>
      </w:r>
      <w:r w:rsidR="000254E1">
        <w:rPr>
          <w:color w:val="000000" w:themeColor="text1"/>
        </w:rPr>
        <w:t xml:space="preserve">May </w:t>
      </w:r>
      <w:r w:rsidR="000254E1" w:rsidRPr="000254E1">
        <w:rPr>
          <w:rStyle w:val="Prompt"/>
          <w:color w:val="000000" w:themeColor="text1"/>
        </w:rPr>
        <w:t>27</w:t>
      </w:r>
      <w:r w:rsidRPr="000254E1">
        <w:rPr>
          <w:color w:val="000000" w:themeColor="text1"/>
        </w:rPr>
        <w:t>,</w:t>
      </w:r>
      <w:r w:rsidRPr="00B24115">
        <w:rPr>
          <w:color w:val="000000" w:themeColor="text1"/>
        </w:rPr>
        <w:t xml:space="preserve"> </w:t>
      </w:r>
      <w:proofErr w:type="gramStart"/>
      <w:r w:rsidRPr="00B24115">
        <w:rPr>
          <w:color w:val="000000" w:themeColor="text1"/>
        </w:rPr>
        <w:t>2026</w:t>
      </w:r>
      <w:proofErr w:type="gramEnd"/>
      <w:r w:rsidRPr="00B24115">
        <w:rPr>
          <w:color w:val="000000" w:themeColor="text1"/>
        </w:rPr>
        <w:t xml:space="preserve"> to Bell’s short form base shelf prospectus dated April 2, </w:t>
      </w:r>
      <w:proofErr w:type="gramStart"/>
      <w:r w:rsidRPr="00B24115">
        <w:rPr>
          <w:color w:val="000000" w:themeColor="text1"/>
        </w:rPr>
        <w:t>2026</w:t>
      </w:r>
      <w:proofErr w:type="gramEnd"/>
      <w:r w:rsidRPr="00B24115">
        <w:rPr>
          <w:color w:val="000000" w:themeColor="text1"/>
        </w:rPr>
        <w:t xml:space="preserve"> filed with the Securities and Exchange Commission as part of an effective shelf registration statement on Form F-10.</w:t>
      </w:r>
    </w:p>
    <w:p w14:paraId="1379C84B" w14:textId="7EBFDD0B" w:rsidR="00A71304" w:rsidRDefault="00B24115" w:rsidP="00B24115">
      <w:pPr>
        <w:pStyle w:val="Corpsdetexte"/>
        <w:spacing w:before="252"/>
        <w:ind w:right="108"/>
      </w:pPr>
      <w:r w:rsidRPr="00B24115">
        <w:rPr>
          <w:color w:val="000000" w:themeColor="text1"/>
        </w:rPr>
        <w:t xml:space="preserve">This news release shall </w:t>
      </w:r>
      <w:r>
        <w:t>not constitute an offer to sell or the solicitation of an offer to buy any securities, nor will there be any sale of these securities, in any jurisdiction in which such offer, solicitation</w:t>
      </w:r>
      <w:r>
        <w:rPr>
          <w:spacing w:val="-2"/>
        </w:rPr>
        <w:t xml:space="preserve"> </w:t>
      </w:r>
      <w:r>
        <w:t>or</w:t>
      </w:r>
      <w:r>
        <w:rPr>
          <w:spacing w:val="-3"/>
        </w:rPr>
        <w:t xml:space="preserve"> </w:t>
      </w:r>
      <w:r>
        <w:t>sale</w:t>
      </w:r>
      <w:r>
        <w:rPr>
          <w:spacing w:val="-2"/>
        </w:rPr>
        <w:t xml:space="preserve"> </w:t>
      </w:r>
      <w:r>
        <w:t>would</w:t>
      </w:r>
      <w:r>
        <w:rPr>
          <w:spacing w:val="-4"/>
        </w:rPr>
        <w:t xml:space="preserve"> </w:t>
      </w:r>
      <w:r>
        <w:t>be</w:t>
      </w:r>
      <w:r>
        <w:rPr>
          <w:spacing w:val="-2"/>
        </w:rPr>
        <w:t xml:space="preserve"> </w:t>
      </w:r>
      <w:r>
        <w:t xml:space="preserve">unlawful. </w:t>
      </w:r>
      <w:r w:rsidRPr="00CA3617">
        <w:t xml:space="preserve">This news release shall not constitute an offer to purchase or </w:t>
      </w:r>
      <w:r w:rsidR="00CA3617" w:rsidRPr="00CA3617">
        <w:t>a</w:t>
      </w:r>
      <w:r w:rsidRPr="00CA3617">
        <w:t xml:space="preserve"> solicitation of an offer to sell any</w:t>
      </w:r>
      <w:r w:rsidR="00CA3617" w:rsidRPr="00CA3617">
        <w:t xml:space="preserve"> of the</w:t>
      </w:r>
      <w:r w:rsidRPr="00CA3617">
        <w:t xml:space="preserve"> securities </w:t>
      </w:r>
      <w:r w:rsidR="00CA3617" w:rsidRPr="00CA3617">
        <w:t>subject to</w:t>
      </w:r>
      <w:r w:rsidRPr="00CA3617">
        <w:t xml:space="preserve"> the Tender Offers.</w:t>
      </w:r>
    </w:p>
    <w:p w14:paraId="439E4922" w14:textId="77777777" w:rsidR="009F5F89" w:rsidRDefault="00B24115" w:rsidP="009F5F89">
      <w:pPr>
        <w:pStyle w:val="Corpsdetexte"/>
        <w:spacing w:before="252"/>
        <w:ind w:right="108"/>
      </w:pPr>
      <w:r>
        <w:t>The</w:t>
      </w:r>
      <w:r>
        <w:rPr>
          <w:spacing w:val="-3"/>
        </w:rPr>
        <w:t xml:space="preserve"> </w:t>
      </w:r>
      <w:r>
        <w:t>Series</w:t>
      </w:r>
      <w:r>
        <w:rPr>
          <w:spacing w:val="-6"/>
        </w:rPr>
        <w:t xml:space="preserve"> </w:t>
      </w:r>
      <w:r>
        <w:t>M-69 and Series M-70</w:t>
      </w:r>
      <w:r>
        <w:rPr>
          <w:spacing w:val="-4"/>
        </w:rPr>
        <w:t xml:space="preserve"> </w:t>
      </w:r>
      <w:r>
        <w:t>MTN</w:t>
      </w:r>
      <w:r>
        <w:rPr>
          <w:spacing w:val="-5"/>
        </w:rPr>
        <w:t xml:space="preserve"> </w:t>
      </w:r>
      <w:r>
        <w:t>Debentures have</w:t>
      </w:r>
      <w:r>
        <w:rPr>
          <w:spacing w:val="-2"/>
        </w:rPr>
        <w:t xml:space="preserve"> </w:t>
      </w:r>
      <w:r>
        <w:t>not been and will not be registered under the U.S. Securities Act of 1933, as amended (</w:t>
      </w:r>
      <w:r w:rsidR="009F5F89" w:rsidRPr="00B12705">
        <w:rPr>
          <w:szCs w:val="18"/>
        </w:rPr>
        <w:t>“</w:t>
      </w:r>
      <w:r>
        <w:t>U.S. Securities Act</w:t>
      </w:r>
      <w:r w:rsidR="009F5F89" w:rsidRPr="00B12705">
        <w:rPr>
          <w:szCs w:val="18"/>
        </w:rPr>
        <w:t>”</w:t>
      </w:r>
      <w:r>
        <w:t xml:space="preserve">), or any U.S. state securities laws and may not be offered or sold in the United States or to or for the account or </w:t>
      </w:r>
      <w:r>
        <w:lastRenderedPageBreak/>
        <w:t>benefit of U.S. persons (as defined in Regulation S under the U.S. Securities Act). The Notes are not being offered in Canada or to any resident of Canada.</w:t>
      </w:r>
    </w:p>
    <w:p w14:paraId="605957BC" w14:textId="198C93CA" w:rsidR="00B57992" w:rsidRDefault="003934DA" w:rsidP="009F5F89">
      <w:pPr>
        <w:pStyle w:val="Corpsdetexte"/>
        <w:spacing w:before="252"/>
        <w:ind w:right="108"/>
      </w:pPr>
      <w:r>
        <w:t>Copies of the short form base shelf prospectus and the prospectus supplements relating to the offering of the Canadian MTN Debentures and the US Notes filed with securities regulatory authorities in Canada and the United States, respectively, may be obtained from the Investor Relations department of Bell Canada at Building A, 8</w:t>
      </w:r>
      <w:r w:rsidRPr="003934DA">
        <w:rPr>
          <w:vertAlign w:val="superscript"/>
        </w:rPr>
        <w:t>th</w:t>
      </w:r>
      <w:r>
        <w:t xml:space="preserve"> floor, 1 Carrefour Alexander-Graham-Bell, Verdun, Québec, H3E 3B3 (telephone 1-800-339-6353). Copies of these documents are also available electronically, as applicable, on the System for Electronic </w:t>
      </w:r>
      <w:r w:rsidR="00053949">
        <w:t xml:space="preserve">Data </w:t>
      </w:r>
      <w:r>
        <w:t>Analysis and Retrieval</w:t>
      </w:r>
      <w:r w:rsidR="00053949">
        <w:t xml:space="preserve"> +</w:t>
      </w:r>
      <w:r>
        <w:t xml:space="preserve"> of the Canadian Securities Administrators (SEDAR+), at </w:t>
      </w:r>
      <w:hyperlink r:id="rId7" w:history="1">
        <w:r w:rsidRPr="00C56F4B">
          <w:rPr>
            <w:rStyle w:val="Hyperlien"/>
          </w:rPr>
          <w:t>www.sedarplus.ca</w:t>
        </w:r>
      </w:hyperlink>
      <w:r>
        <w:t xml:space="preserve">, or on the Electronic Data Gathering, Analysis and Retrieval system, administered by the US Securities and Exchange Commission (EDGAR) at </w:t>
      </w:r>
      <w:hyperlink r:id="rId8" w:history="1">
        <w:r w:rsidRPr="00C56F4B">
          <w:rPr>
            <w:rStyle w:val="Hyperlien"/>
          </w:rPr>
          <w:t>www.sec.gov</w:t>
        </w:r>
      </w:hyperlink>
      <w:r>
        <w:t xml:space="preserve">. </w:t>
      </w:r>
    </w:p>
    <w:p w14:paraId="16515577" w14:textId="77777777" w:rsidR="007E0240" w:rsidRDefault="007E0240"/>
    <w:p w14:paraId="040C30FE" w14:textId="512B08D8" w:rsidR="00B57992" w:rsidRPr="003934DA" w:rsidRDefault="007E0240" w:rsidP="007E0240">
      <w:pPr>
        <w:rPr>
          <w:b/>
          <w:bCs/>
        </w:rPr>
      </w:pPr>
      <w:r>
        <w:t xml:space="preserve">   </w:t>
      </w:r>
      <w:r w:rsidR="00180CE1" w:rsidRPr="003934DA">
        <w:rPr>
          <w:b/>
          <w:bCs/>
          <w:color w:val="0D0D0D"/>
        </w:rPr>
        <w:t>About</w:t>
      </w:r>
      <w:r w:rsidR="00180CE1" w:rsidRPr="003934DA">
        <w:rPr>
          <w:b/>
          <w:bCs/>
          <w:color w:val="0D0D0D"/>
          <w:spacing w:val="-2"/>
        </w:rPr>
        <w:t xml:space="preserve"> </w:t>
      </w:r>
      <w:r w:rsidR="00180CE1" w:rsidRPr="003934DA">
        <w:rPr>
          <w:b/>
          <w:bCs/>
          <w:color w:val="0D0D0D"/>
          <w:spacing w:val="-4"/>
        </w:rPr>
        <w:t>Bell</w:t>
      </w:r>
    </w:p>
    <w:p w14:paraId="0112AF7F" w14:textId="0B8AD194" w:rsidR="00B57992" w:rsidRPr="00064E6B" w:rsidRDefault="00180CE1" w:rsidP="00064E6B">
      <w:pPr>
        <w:pStyle w:val="Corpsdetexte"/>
        <w:ind w:right="108"/>
      </w:pPr>
      <w:r>
        <w:t>Bell is Canada's largest communications company,</w:t>
      </w:r>
      <w:r>
        <w:rPr>
          <w:vertAlign w:val="superscript"/>
        </w:rPr>
        <w:t>1</w:t>
      </w:r>
      <w:r>
        <w:t xml:space="preserve"> </w:t>
      </w:r>
      <w:r w:rsidR="00B27BA2">
        <w:t>leading the way in advanced fibre and</w:t>
      </w:r>
      <w:r w:rsidR="00064E6B">
        <w:t xml:space="preserve"> </w:t>
      </w:r>
      <w:r w:rsidR="00B27BA2">
        <w:t>wireless networks, enterprise services and digital media. By delivering next-generation</w:t>
      </w:r>
      <w:r w:rsidR="00064E6B">
        <w:t xml:space="preserve"> </w:t>
      </w:r>
      <w:r w:rsidR="00B27BA2">
        <w:t>technology that leverages cloud-based and AI-driven solutions, we're keeping customers</w:t>
      </w:r>
      <w:r w:rsidR="00064E6B">
        <w:t xml:space="preserve"> </w:t>
      </w:r>
      <w:r w:rsidR="00B27BA2">
        <w:t>connected, informed and entertained while enabling businesses to compete on the world stage.</w:t>
      </w:r>
      <w:r w:rsidR="00064E6B">
        <w:t xml:space="preserve"> </w:t>
      </w:r>
      <w:r>
        <w:t xml:space="preserve">To learn more, please visit </w:t>
      </w:r>
      <w:hyperlink r:id="rId9">
        <w:r w:rsidRPr="002B2E2D">
          <w:rPr>
            <w:rFonts w:eastAsia="Calibri" w:cs="Times New Roman"/>
            <w:color w:val="0000FF"/>
            <w:u w:val="single"/>
            <w:lang w:val="en-CA"/>
          </w:rPr>
          <w:t>Bell.ca</w:t>
        </w:r>
      </w:hyperlink>
      <w:r>
        <w:rPr>
          <w:color w:val="0066A3"/>
        </w:rPr>
        <w:t xml:space="preserve"> </w:t>
      </w:r>
      <w:r>
        <w:t xml:space="preserve">or </w:t>
      </w:r>
      <w:hyperlink r:id="rId10">
        <w:r w:rsidRPr="002B2E2D">
          <w:rPr>
            <w:rFonts w:eastAsia="Calibri" w:cs="Times New Roman"/>
            <w:color w:val="0000FF"/>
            <w:u w:val="single"/>
            <w:lang w:val="en-CA"/>
          </w:rPr>
          <w:t>BCE.ca</w:t>
        </w:r>
      </w:hyperlink>
      <w:r>
        <w:rPr>
          <w:color w:val="2B2B2B"/>
        </w:rPr>
        <w:t>.</w:t>
      </w:r>
    </w:p>
    <w:p w14:paraId="6042E396" w14:textId="77777777" w:rsidR="00B57992" w:rsidRDefault="00180CE1">
      <w:pPr>
        <w:spacing w:before="161"/>
        <w:ind w:left="180"/>
        <w:rPr>
          <w:sz w:val="14"/>
        </w:rPr>
      </w:pPr>
      <w:r>
        <w:rPr>
          <w:sz w:val="14"/>
          <w:vertAlign w:val="superscript"/>
        </w:rPr>
        <w:t>1</w:t>
      </w:r>
      <w:r>
        <w:rPr>
          <w:spacing w:val="-13"/>
          <w:sz w:val="14"/>
        </w:rPr>
        <w:t xml:space="preserve"> </w:t>
      </w:r>
      <w:r>
        <w:rPr>
          <w:sz w:val="14"/>
        </w:rPr>
        <w:t>Based</w:t>
      </w:r>
      <w:r>
        <w:rPr>
          <w:spacing w:val="-9"/>
          <w:sz w:val="14"/>
        </w:rPr>
        <w:t xml:space="preserve"> </w:t>
      </w:r>
      <w:r>
        <w:rPr>
          <w:sz w:val="14"/>
        </w:rPr>
        <w:t>on</w:t>
      </w:r>
      <w:r>
        <w:rPr>
          <w:spacing w:val="-5"/>
          <w:sz w:val="14"/>
        </w:rPr>
        <w:t xml:space="preserve"> </w:t>
      </w:r>
      <w:r>
        <w:rPr>
          <w:sz w:val="14"/>
        </w:rPr>
        <w:t>total</w:t>
      </w:r>
      <w:r>
        <w:rPr>
          <w:spacing w:val="-3"/>
          <w:sz w:val="14"/>
        </w:rPr>
        <w:t xml:space="preserve"> </w:t>
      </w:r>
      <w:r>
        <w:rPr>
          <w:sz w:val="14"/>
        </w:rPr>
        <w:t>revenue</w:t>
      </w:r>
      <w:r>
        <w:rPr>
          <w:spacing w:val="-4"/>
          <w:sz w:val="14"/>
        </w:rPr>
        <w:t xml:space="preserve"> </w:t>
      </w:r>
      <w:r>
        <w:rPr>
          <w:sz w:val="14"/>
        </w:rPr>
        <w:t>and</w:t>
      </w:r>
      <w:r>
        <w:rPr>
          <w:spacing w:val="-5"/>
          <w:sz w:val="14"/>
        </w:rPr>
        <w:t xml:space="preserve"> </w:t>
      </w:r>
      <w:r>
        <w:rPr>
          <w:sz w:val="14"/>
        </w:rPr>
        <w:t>total</w:t>
      </w:r>
      <w:r>
        <w:rPr>
          <w:spacing w:val="-3"/>
          <w:sz w:val="14"/>
        </w:rPr>
        <w:t xml:space="preserve"> </w:t>
      </w:r>
      <w:r>
        <w:rPr>
          <w:sz w:val="14"/>
        </w:rPr>
        <w:t>combined</w:t>
      </w:r>
      <w:r>
        <w:rPr>
          <w:spacing w:val="-5"/>
          <w:sz w:val="14"/>
        </w:rPr>
        <w:t xml:space="preserve"> </w:t>
      </w:r>
      <w:r>
        <w:rPr>
          <w:sz w:val="14"/>
        </w:rPr>
        <w:t>customer</w:t>
      </w:r>
      <w:r>
        <w:rPr>
          <w:spacing w:val="-6"/>
          <w:sz w:val="14"/>
        </w:rPr>
        <w:t xml:space="preserve"> </w:t>
      </w:r>
      <w:r>
        <w:rPr>
          <w:spacing w:val="-2"/>
          <w:sz w:val="14"/>
        </w:rPr>
        <w:t>connections.</w:t>
      </w:r>
    </w:p>
    <w:p w14:paraId="0121CD35" w14:textId="77777777" w:rsidR="00B57992" w:rsidRDefault="00B57992">
      <w:pPr>
        <w:pStyle w:val="Corpsdetexte"/>
        <w:spacing w:before="93"/>
        <w:ind w:left="0"/>
        <w:rPr>
          <w:sz w:val="14"/>
        </w:rPr>
      </w:pPr>
    </w:p>
    <w:p w14:paraId="08CA2A52" w14:textId="77777777" w:rsidR="00B57992" w:rsidRDefault="00180CE1">
      <w:pPr>
        <w:pStyle w:val="Titre1"/>
      </w:pPr>
      <w:r>
        <w:t>Media</w:t>
      </w:r>
      <w:r>
        <w:rPr>
          <w:spacing w:val="-2"/>
        </w:rPr>
        <w:t xml:space="preserve"> Inquiries:</w:t>
      </w:r>
    </w:p>
    <w:p w14:paraId="2AB6EC02" w14:textId="42133C59" w:rsidR="003270A7" w:rsidRDefault="003270A7">
      <w:pPr>
        <w:pStyle w:val="Corpsdetexte"/>
        <w:ind w:right="6783"/>
      </w:pPr>
      <w:bookmarkStart w:id="0" w:name="OpenAt"/>
      <w:r>
        <w:t>Ellen Murphy</w:t>
      </w:r>
    </w:p>
    <w:bookmarkEnd w:id="0"/>
    <w:p w14:paraId="4EC64AE1" w14:textId="24D5D16E" w:rsidR="00B57992" w:rsidRPr="00B27BA2" w:rsidRDefault="001C3184">
      <w:pPr>
        <w:pStyle w:val="Corpsdetexte"/>
        <w:ind w:right="6783"/>
      </w:pPr>
      <w:r>
        <w:fldChar w:fldCharType="begin"/>
      </w:r>
      <w:r>
        <w:instrText>HYPERLINK "mailto:media@bell.ca"</w:instrText>
      </w:r>
      <w:r>
        <w:fldChar w:fldCharType="separate"/>
      </w:r>
      <w:r w:rsidRPr="001C3184">
        <w:rPr>
          <w:rStyle w:val="Hyperlien"/>
        </w:rPr>
        <w:t>media@bell.ca</w:t>
      </w:r>
      <w:r>
        <w:fldChar w:fldCharType="end"/>
      </w:r>
    </w:p>
    <w:p w14:paraId="28337CD5" w14:textId="77777777" w:rsidR="00B57992" w:rsidRDefault="00180CE1">
      <w:pPr>
        <w:pStyle w:val="Titre1"/>
        <w:spacing w:before="252"/>
      </w:pPr>
      <w:r>
        <w:t>Investor</w:t>
      </w:r>
      <w:r>
        <w:rPr>
          <w:spacing w:val="-3"/>
        </w:rPr>
        <w:t xml:space="preserve"> </w:t>
      </w:r>
      <w:r>
        <w:rPr>
          <w:spacing w:val="-2"/>
        </w:rPr>
        <w:t>Inquiries:</w:t>
      </w:r>
    </w:p>
    <w:p w14:paraId="5A48C680" w14:textId="3232DD2D" w:rsidR="00B57992" w:rsidRPr="002F5852" w:rsidRDefault="00180CE1">
      <w:pPr>
        <w:pStyle w:val="Corpsdetexte"/>
        <w:ind w:right="6783"/>
        <w:rPr>
          <w:rFonts w:eastAsia="Calibri" w:cs="Times New Roman"/>
          <w:color w:val="0000FF"/>
          <w:u w:val="single"/>
          <w:lang w:val="en-CA"/>
        </w:rPr>
      </w:pPr>
      <w:r>
        <w:t>Kris</w:t>
      </w:r>
      <w:r w:rsidR="003270A7">
        <w:t>hna</w:t>
      </w:r>
      <w:r>
        <w:t xml:space="preserve"> Somers </w:t>
      </w:r>
      <w:hyperlink r:id="rId11">
        <w:r w:rsidRPr="002B2E2D">
          <w:rPr>
            <w:rFonts w:eastAsia="Calibri" w:cs="Times New Roman"/>
            <w:color w:val="0000FF"/>
            <w:u w:val="single"/>
            <w:lang w:val="en-CA"/>
          </w:rPr>
          <w:t>krishna.somers@bell.ca</w:t>
        </w:r>
      </w:hyperlink>
    </w:p>
    <w:p w14:paraId="77D58F8A" w14:textId="77777777" w:rsidR="002B2E2D" w:rsidRDefault="002B2E2D">
      <w:pPr>
        <w:pStyle w:val="Corpsdetexte"/>
        <w:ind w:right="6783"/>
      </w:pPr>
    </w:p>
    <w:p w14:paraId="34F41583" w14:textId="77777777" w:rsidR="00B57992" w:rsidRDefault="00B57992">
      <w:pPr>
        <w:pStyle w:val="Corpsdetexte"/>
        <w:spacing w:before="2"/>
        <w:ind w:left="0"/>
      </w:pPr>
    </w:p>
    <w:p w14:paraId="1A25FCDE" w14:textId="14F3EDFC" w:rsidR="00064E6B" w:rsidRDefault="00180CE1" w:rsidP="00064E6B">
      <w:pPr>
        <w:pStyle w:val="Titre2"/>
      </w:pPr>
      <w:r>
        <w:t>Caution</w:t>
      </w:r>
      <w:r>
        <w:rPr>
          <w:spacing w:val="-8"/>
        </w:rPr>
        <w:t xml:space="preserve"> </w:t>
      </w:r>
      <w:r>
        <w:t>Concerning</w:t>
      </w:r>
      <w:r>
        <w:rPr>
          <w:spacing w:val="-10"/>
        </w:rPr>
        <w:t xml:space="preserve"> </w:t>
      </w:r>
      <w:r>
        <w:t>Forward-Looking</w:t>
      </w:r>
      <w:r>
        <w:rPr>
          <w:spacing w:val="-9"/>
        </w:rPr>
        <w:t xml:space="preserve"> </w:t>
      </w:r>
      <w:r>
        <w:rPr>
          <w:spacing w:val="-2"/>
        </w:rPr>
        <w:t>Statements</w:t>
      </w:r>
    </w:p>
    <w:p w14:paraId="2A254AD5" w14:textId="179FE626" w:rsidR="00573F4C" w:rsidRDefault="003270A7" w:rsidP="003934DA">
      <w:pPr>
        <w:pStyle w:val="Corpsdetexte"/>
        <w:ind w:right="108"/>
      </w:pPr>
      <w:r w:rsidRPr="003270A7">
        <w:t xml:space="preserve">Certain statements made in this news release constitute forward-looking statements, including, but not limited to, </w:t>
      </w:r>
      <w:r w:rsidRPr="006707DB">
        <w:t>statements relating to the expected timing and completion of the proposed sale of MTN Debentures</w:t>
      </w:r>
      <w:r w:rsidR="003934DA" w:rsidRPr="006707DB">
        <w:t xml:space="preserve"> and proposed sale of the Notes</w:t>
      </w:r>
      <w:r w:rsidRPr="00AD075B">
        <w:t>,</w:t>
      </w:r>
      <w:r w:rsidR="003934DA" w:rsidRPr="00AD075B">
        <w:t xml:space="preserve"> the Tender Offer</w:t>
      </w:r>
      <w:r w:rsidR="00C60603" w:rsidRPr="00AD075B">
        <w:t>s</w:t>
      </w:r>
      <w:r w:rsidR="003934DA" w:rsidRPr="00AD075B">
        <w:t>,</w:t>
      </w:r>
      <w:r w:rsidRPr="006707DB">
        <w:t xml:space="preserve"> the intended use of the net proceeds </w:t>
      </w:r>
      <w:r w:rsidR="009739E4" w:rsidRPr="006707DB">
        <w:t>from the offerings</w:t>
      </w:r>
      <w:r w:rsidRPr="003270A7">
        <w:t xml:space="preserve"> and other statements that are not historical facts. All such forward-looking statements are made pursuant to the "safe </w:t>
      </w:r>
      <w:proofErr w:type="spellStart"/>
      <w:r w:rsidRPr="003270A7">
        <w:t>harbour</w:t>
      </w:r>
      <w:proofErr w:type="spellEnd"/>
      <w:r w:rsidRPr="003270A7">
        <w:t xml:space="preserve">" provisions of applicable Canadian securities laws and of the United States </w:t>
      </w:r>
      <w:r w:rsidRPr="003270A7">
        <w:rPr>
          <w:i/>
        </w:rPr>
        <w:t>Private Securities Litigation Reform Act of 1995</w:t>
      </w:r>
      <w:r w:rsidRPr="003270A7">
        <w:t>. Forward-looking statements</w:t>
      </w:r>
      <w:r w:rsidR="005068C4">
        <w:t xml:space="preserve"> </w:t>
      </w:r>
      <w:r w:rsidRPr="003270A7">
        <w:t>are subject to inherent risks and uncertainties and are based on several assumptions</w:t>
      </w:r>
      <w:r w:rsidR="005068C4">
        <w:t xml:space="preserve"> </w:t>
      </w:r>
      <w:r w:rsidRPr="003270A7">
        <w:t>which give rise to the possibility that actual results or events could differ materially from our expectations</w:t>
      </w:r>
      <w:r w:rsidR="00475354">
        <w:t>.</w:t>
      </w:r>
      <w:r w:rsidRPr="003270A7">
        <w:t xml:space="preserve"> These statements are not guarantees of future performance or events</w:t>
      </w:r>
      <w:r w:rsidR="0082050E">
        <w:t>,</w:t>
      </w:r>
      <w:r w:rsidRPr="003270A7">
        <w:t xml:space="preserve"> and we caution you against relying on any of these forward-looking statements. The forward-looking statements contained in this news release describe our expectations at the date of this news release and, accordingly, are subject to change after such date. Except as may be required by applicable securities laws, we do not undertake any obligation to update or revise any</w:t>
      </w:r>
      <w:r w:rsidR="003934DA">
        <w:t xml:space="preserve"> </w:t>
      </w:r>
      <w:r w:rsidRPr="003270A7">
        <w:t xml:space="preserve">forward-looking statements contained in this news release, whether </w:t>
      </w:r>
      <w:proofErr w:type="gramStart"/>
      <w:r w:rsidRPr="003270A7">
        <w:t>as a result of</w:t>
      </w:r>
      <w:proofErr w:type="gramEnd"/>
      <w:r w:rsidRPr="003270A7">
        <w:t xml:space="preserve"> new information, future events or otherwise. Forward-looking statements are provided herein for the purpose of giving information about the proposed offering</w:t>
      </w:r>
      <w:r w:rsidR="003934DA">
        <w:t>s</w:t>
      </w:r>
      <w:r w:rsidRPr="003270A7">
        <w:t xml:space="preserve"> referred to above. Readers are cautioned that such information may not be appropriate for other purposes. </w:t>
      </w:r>
    </w:p>
    <w:p w14:paraId="27319585" w14:textId="77777777" w:rsidR="00573F4C" w:rsidRDefault="00573F4C" w:rsidP="003934DA">
      <w:pPr>
        <w:pStyle w:val="Corpsdetexte"/>
        <w:ind w:right="108"/>
      </w:pPr>
    </w:p>
    <w:p w14:paraId="0A5EC757" w14:textId="28C0CB16" w:rsidR="00573F4C" w:rsidRPr="003270A7" w:rsidRDefault="00573F4C" w:rsidP="0099649B">
      <w:pPr>
        <w:pStyle w:val="Corpsdetexte"/>
        <w:ind w:right="108"/>
      </w:pPr>
      <w:r w:rsidRPr="00573F4C">
        <w:t xml:space="preserve">Forward-looking statements made in this news release, including </w:t>
      </w:r>
      <w:r w:rsidR="009F5F89">
        <w:t xml:space="preserve">statements regarding </w:t>
      </w:r>
      <w:r w:rsidR="00EE18F6">
        <w:t>t</w:t>
      </w:r>
      <w:r w:rsidR="003270A7" w:rsidRPr="003270A7">
        <w:t xml:space="preserve">he timing and completion of the </w:t>
      </w:r>
      <w:proofErr w:type="gramStart"/>
      <w:r w:rsidR="003270A7" w:rsidRPr="003270A7">
        <w:t>abovementioned</w:t>
      </w:r>
      <w:proofErr w:type="gramEnd"/>
      <w:r w:rsidR="003270A7" w:rsidRPr="003270A7">
        <w:t xml:space="preserve"> proposed sale</w:t>
      </w:r>
      <w:r w:rsidR="003934DA">
        <w:t>s</w:t>
      </w:r>
      <w:r w:rsidR="003270A7" w:rsidRPr="003270A7">
        <w:t xml:space="preserve"> of the MTN Debentures</w:t>
      </w:r>
      <w:r w:rsidR="00424BEF">
        <w:t xml:space="preserve"> and </w:t>
      </w:r>
      <w:r w:rsidR="003934DA">
        <w:t xml:space="preserve">the Notes </w:t>
      </w:r>
      <w:r w:rsidR="003934DA" w:rsidRPr="00AD075B">
        <w:t>and the Tender Offer</w:t>
      </w:r>
      <w:r w:rsidR="00C60603" w:rsidRPr="00AD075B">
        <w:t>s</w:t>
      </w:r>
      <w:r w:rsidR="009F5F89" w:rsidRPr="00AD075B">
        <w:t>,</w:t>
      </w:r>
      <w:r w:rsidR="003270A7" w:rsidRPr="003270A7">
        <w:t xml:space="preserve"> </w:t>
      </w:r>
      <w:r w:rsidR="003934DA">
        <w:t>are</w:t>
      </w:r>
      <w:r w:rsidR="003270A7" w:rsidRPr="003270A7">
        <w:t xml:space="preserve"> subject to </w:t>
      </w:r>
      <w:r w:rsidR="00EE18F6" w:rsidRPr="00573F4C">
        <w:t xml:space="preserve">certain risks and uncertainties and are based on certain assumptions including, without limitation, </w:t>
      </w:r>
      <w:r w:rsidR="0099649B">
        <w:t xml:space="preserve">the achievement of </w:t>
      </w:r>
      <w:r w:rsidR="003270A7" w:rsidRPr="003270A7">
        <w:t xml:space="preserve">customary closing </w:t>
      </w:r>
      <w:r w:rsidR="0099649B">
        <w:t>conditions</w:t>
      </w:r>
      <w:r w:rsidR="003270A7" w:rsidRPr="003270A7">
        <w:t xml:space="preserve">. Accordingly, there can be no assurance that the proposed sale of the MTN </w:t>
      </w:r>
      <w:r w:rsidR="003270A7" w:rsidRPr="003270A7">
        <w:lastRenderedPageBreak/>
        <w:t>Debentures</w:t>
      </w:r>
      <w:r w:rsidR="003934DA">
        <w:t xml:space="preserve"> and/or </w:t>
      </w:r>
      <w:r w:rsidR="003934DA" w:rsidRPr="009F40CB">
        <w:t xml:space="preserve">of </w:t>
      </w:r>
      <w:r w:rsidR="003934DA">
        <w:t>the Notes</w:t>
      </w:r>
      <w:r w:rsidR="003270A7" w:rsidRPr="003270A7">
        <w:t xml:space="preserve"> will occur</w:t>
      </w:r>
      <w:r w:rsidR="003270A7" w:rsidRPr="00AD075B">
        <w:t>, or that</w:t>
      </w:r>
      <w:r w:rsidR="00CD645D" w:rsidRPr="00AD075B">
        <w:t xml:space="preserve"> </w:t>
      </w:r>
      <w:r w:rsidR="009739E4" w:rsidRPr="00AD075B">
        <w:t xml:space="preserve">any of the </w:t>
      </w:r>
      <w:r w:rsidR="00CD645D" w:rsidRPr="00AD075B">
        <w:t>Tender Offer</w:t>
      </w:r>
      <w:r w:rsidR="009739E4" w:rsidRPr="00AD075B">
        <w:t>s</w:t>
      </w:r>
      <w:r w:rsidR="00CD645D" w:rsidRPr="00AD075B">
        <w:t xml:space="preserve"> will be completed</w:t>
      </w:r>
      <w:r w:rsidR="00CD645D" w:rsidRPr="009F5F89">
        <w:rPr>
          <w:b/>
          <w:bCs/>
        </w:rPr>
        <w:t xml:space="preserve"> </w:t>
      </w:r>
      <w:r w:rsidR="00CD645D">
        <w:t>or that any of the foregoing</w:t>
      </w:r>
      <w:r w:rsidR="003270A7" w:rsidRPr="003270A7">
        <w:t xml:space="preserve"> will occur at the expected time indicated in this news release.</w:t>
      </w:r>
      <w:r w:rsidR="0099649B">
        <w:t xml:space="preserve"> </w:t>
      </w:r>
      <w:r w:rsidRPr="00573F4C">
        <w:t>For additional information on assumptions and risks underlying certain of the forward-looking statements made in this news release, please consult BCE Inc.’s (</w:t>
      </w:r>
      <w:r w:rsidR="00FC5A16" w:rsidRPr="00B12705">
        <w:rPr>
          <w:szCs w:val="18"/>
        </w:rPr>
        <w:t>“</w:t>
      </w:r>
      <w:r w:rsidRPr="00573F4C">
        <w:t>BCE</w:t>
      </w:r>
      <w:r w:rsidR="00FC5A16" w:rsidRPr="00B12705">
        <w:rPr>
          <w:szCs w:val="18"/>
        </w:rPr>
        <w:t>”</w:t>
      </w:r>
      <w:r w:rsidRPr="00573F4C">
        <w:t>) 2025 Annual MD&amp;A dated March 5, 2026, BCE’s First Quarter MD&amp;A dated May 6, 2026 and B</w:t>
      </w:r>
      <w:r w:rsidR="0099649B">
        <w:t>CE</w:t>
      </w:r>
      <w:r w:rsidRPr="00573F4C">
        <w:t>’s news release dated May 7, 2026 announcing its financial results for the first quarter of 2026, filed with the Canadian provincial securities regulatory authorities (available at sedarplus.ca) and with the U.S. Securities and Exchange Commission (available at SEC.gov). These documents are also available at BCE.ca.</w:t>
      </w:r>
    </w:p>
    <w:p w14:paraId="75E3F840" w14:textId="6B873F3C" w:rsidR="00064E6B" w:rsidRDefault="00064E6B" w:rsidP="00064E6B">
      <w:pPr>
        <w:pStyle w:val="Corpsdetexte"/>
        <w:ind w:right="108"/>
      </w:pPr>
    </w:p>
    <w:sectPr w:rsidR="00064E6B" w:rsidSect="004F71DB">
      <w:headerReference w:type="even" r:id="rId12"/>
      <w:headerReference w:type="default" r:id="rId13"/>
      <w:footerReference w:type="even" r:id="rId14"/>
      <w:footerReference w:type="default" r:id="rId15"/>
      <w:headerReference w:type="first" r:id="rId16"/>
      <w:footerReference w:type="first" r:id="rId17"/>
      <w:pgSz w:w="12240" w:h="15840"/>
      <w:pgMar w:top="1620" w:right="1320" w:bottom="280" w:left="126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98D8" w14:textId="77777777" w:rsidR="00AF5632" w:rsidRDefault="00AF5632" w:rsidP="000F5F2C">
      <w:r>
        <w:separator/>
      </w:r>
    </w:p>
  </w:endnote>
  <w:endnote w:type="continuationSeparator" w:id="0">
    <w:p w14:paraId="7189DC0C" w14:textId="77777777" w:rsidR="00AF5632" w:rsidRDefault="00AF5632" w:rsidP="000F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A4EC" w14:textId="77777777" w:rsidR="00D4564F" w:rsidRDefault="00D456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8A82" w14:textId="77777777" w:rsidR="00D4564F" w:rsidRDefault="00D456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DE78" w14:textId="77777777" w:rsidR="00D4564F" w:rsidRDefault="00D456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8426" w14:textId="77777777" w:rsidR="00AF5632" w:rsidRDefault="00AF5632" w:rsidP="000F5F2C">
      <w:r>
        <w:separator/>
      </w:r>
    </w:p>
  </w:footnote>
  <w:footnote w:type="continuationSeparator" w:id="0">
    <w:p w14:paraId="59D9F2F4" w14:textId="77777777" w:rsidR="00AF5632" w:rsidRDefault="00AF5632" w:rsidP="000F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9223" w14:textId="77777777" w:rsidR="00D4564F" w:rsidRDefault="00D456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735" w14:textId="558E0D42" w:rsidR="000F5F2C" w:rsidRPr="00B70D24" w:rsidRDefault="000F5F2C" w:rsidP="00B70D24">
    <w:pPr>
      <w:pStyle w:val="En-tte"/>
      <w:jc w:val="right"/>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6CAC" w14:textId="77777777" w:rsidR="00D4564F" w:rsidRDefault="00D4564F" w:rsidP="00D4564F">
    <w:pPr>
      <w:pStyle w:val="Corpsdetexte"/>
      <w:ind w:firstLine="612"/>
      <w:jc w:val="right"/>
      <w:rPr>
        <w:rFonts w:ascii="Times New Roman"/>
        <w:sz w:val="20"/>
      </w:rPr>
    </w:pPr>
    <w:r>
      <w:rPr>
        <w:rFonts w:ascii="Verdana" w:hAnsi="Verdana" w:cs="Calibri"/>
        <w:color w:val="0466A5"/>
        <w:spacing w:val="10"/>
        <w:sz w:val="48"/>
        <w:szCs w:val="48"/>
      </w:rPr>
      <w:t>Press release</w:t>
    </w:r>
    <w:r>
      <w:rPr>
        <w:rFonts w:ascii="Times New Roman"/>
        <w:noProof/>
        <w:sz w:val="20"/>
      </w:rPr>
      <w:t xml:space="preserve"> </w:t>
    </w:r>
    <w:r>
      <w:rPr>
        <w:rFonts w:ascii="Times New Roman"/>
        <w:noProof/>
        <w:sz w:val="20"/>
      </w:rPr>
      <w:drawing>
        <wp:anchor distT="0" distB="0" distL="114300" distR="114300" simplePos="0" relativeHeight="251659264" behindDoc="0" locked="0" layoutInCell="1" allowOverlap="1" wp14:anchorId="43FFDC79" wp14:editId="49B9ED91">
          <wp:simplePos x="866775" y="1028700"/>
          <wp:positionH relativeFrom="column">
            <wp:align>left</wp:align>
          </wp:positionH>
          <wp:positionV relativeFrom="paragraph">
            <wp:align>top</wp:align>
          </wp:positionV>
          <wp:extent cx="887115" cy="594359"/>
          <wp:effectExtent l="0" t="0" r="825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115" cy="594359"/>
                  </a:xfrm>
                  <a:prstGeom prst="rect">
                    <a:avLst/>
                  </a:prstGeom>
                </pic:spPr>
              </pic:pic>
            </a:graphicData>
          </a:graphic>
        </wp:anchor>
      </w:drawing>
    </w:r>
    <w:r>
      <w:rPr>
        <w:rFonts w:ascii="Times New Roman"/>
        <w:sz w:val="20"/>
      </w:rPr>
      <w:br w:type="textWrapping" w:clear="all"/>
    </w:r>
  </w:p>
  <w:p w14:paraId="3735A77A" w14:textId="6C4CEC16" w:rsidR="00622CEB" w:rsidRPr="00D4564F" w:rsidRDefault="00622CEB" w:rsidP="00D4564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7992"/>
    <w:rsid w:val="000127DA"/>
    <w:rsid w:val="00015A50"/>
    <w:rsid w:val="00016EDA"/>
    <w:rsid w:val="000254E1"/>
    <w:rsid w:val="00035891"/>
    <w:rsid w:val="00053949"/>
    <w:rsid w:val="00064E6B"/>
    <w:rsid w:val="00070CBC"/>
    <w:rsid w:val="000A5A6F"/>
    <w:rsid w:val="000A6E95"/>
    <w:rsid w:val="000B5E9E"/>
    <w:rsid w:val="000C57A0"/>
    <w:rsid w:val="000F0818"/>
    <w:rsid w:val="000F3994"/>
    <w:rsid w:val="000F5F2C"/>
    <w:rsid w:val="00105D51"/>
    <w:rsid w:val="00151DB3"/>
    <w:rsid w:val="00160B58"/>
    <w:rsid w:val="00164A8E"/>
    <w:rsid w:val="00180C44"/>
    <w:rsid w:val="00180CE1"/>
    <w:rsid w:val="001940FB"/>
    <w:rsid w:val="001B2185"/>
    <w:rsid w:val="001B4E52"/>
    <w:rsid w:val="001B7391"/>
    <w:rsid w:val="001C3184"/>
    <w:rsid w:val="001C7766"/>
    <w:rsid w:val="001D2809"/>
    <w:rsid w:val="001D5917"/>
    <w:rsid w:val="001F3793"/>
    <w:rsid w:val="001F58D0"/>
    <w:rsid w:val="00200D20"/>
    <w:rsid w:val="00256DC7"/>
    <w:rsid w:val="00271014"/>
    <w:rsid w:val="002715F7"/>
    <w:rsid w:val="00291CEA"/>
    <w:rsid w:val="00295244"/>
    <w:rsid w:val="002A7994"/>
    <w:rsid w:val="002B2E2D"/>
    <w:rsid w:val="002F5852"/>
    <w:rsid w:val="002F5CDE"/>
    <w:rsid w:val="003270A7"/>
    <w:rsid w:val="00351FB6"/>
    <w:rsid w:val="00353DC7"/>
    <w:rsid w:val="0037682D"/>
    <w:rsid w:val="003934DA"/>
    <w:rsid w:val="003A0852"/>
    <w:rsid w:val="003E170F"/>
    <w:rsid w:val="00424BEF"/>
    <w:rsid w:val="00432243"/>
    <w:rsid w:val="00472322"/>
    <w:rsid w:val="00475354"/>
    <w:rsid w:val="00487AC1"/>
    <w:rsid w:val="004936D7"/>
    <w:rsid w:val="004A5557"/>
    <w:rsid w:val="004E6E0A"/>
    <w:rsid w:val="004F71DB"/>
    <w:rsid w:val="005000BB"/>
    <w:rsid w:val="005068C4"/>
    <w:rsid w:val="0050785F"/>
    <w:rsid w:val="00526773"/>
    <w:rsid w:val="00573F4C"/>
    <w:rsid w:val="005C56B9"/>
    <w:rsid w:val="00613C73"/>
    <w:rsid w:val="00622CEB"/>
    <w:rsid w:val="006351A4"/>
    <w:rsid w:val="00643CF7"/>
    <w:rsid w:val="0066702C"/>
    <w:rsid w:val="006707DB"/>
    <w:rsid w:val="006715B2"/>
    <w:rsid w:val="00687B74"/>
    <w:rsid w:val="006945FB"/>
    <w:rsid w:val="006C067E"/>
    <w:rsid w:val="006E2321"/>
    <w:rsid w:val="006F31F7"/>
    <w:rsid w:val="006F6C71"/>
    <w:rsid w:val="007475B3"/>
    <w:rsid w:val="00756B3E"/>
    <w:rsid w:val="00767E30"/>
    <w:rsid w:val="00770472"/>
    <w:rsid w:val="00796087"/>
    <w:rsid w:val="007C0162"/>
    <w:rsid w:val="007D2455"/>
    <w:rsid w:val="007E0240"/>
    <w:rsid w:val="007F5B4F"/>
    <w:rsid w:val="00803502"/>
    <w:rsid w:val="008054E9"/>
    <w:rsid w:val="0082050E"/>
    <w:rsid w:val="008460B9"/>
    <w:rsid w:val="00846D61"/>
    <w:rsid w:val="00867AE5"/>
    <w:rsid w:val="00876CC2"/>
    <w:rsid w:val="008A4938"/>
    <w:rsid w:val="008C56EE"/>
    <w:rsid w:val="008F47DB"/>
    <w:rsid w:val="0091162B"/>
    <w:rsid w:val="0094540A"/>
    <w:rsid w:val="00971620"/>
    <w:rsid w:val="009739E4"/>
    <w:rsid w:val="00974CDD"/>
    <w:rsid w:val="0099649B"/>
    <w:rsid w:val="009A06D5"/>
    <w:rsid w:val="009A1D2F"/>
    <w:rsid w:val="009B56CB"/>
    <w:rsid w:val="009F40CB"/>
    <w:rsid w:val="009F5F89"/>
    <w:rsid w:val="00A13E3B"/>
    <w:rsid w:val="00A7079B"/>
    <w:rsid w:val="00A71304"/>
    <w:rsid w:val="00A7394B"/>
    <w:rsid w:val="00A96096"/>
    <w:rsid w:val="00AA5B0A"/>
    <w:rsid w:val="00AB5331"/>
    <w:rsid w:val="00AB72B7"/>
    <w:rsid w:val="00AC4C56"/>
    <w:rsid w:val="00AD075B"/>
    <w:rsid w:val="00AD2942"/>
    <w:rsid w:val="00AD40D7"/>
    <w:rsid w:val="00AF5632"/>
    <w:rsid w:val="00B02EC8"/>
    <w:rsid w:val="00B23AB9"/>
    <w:rsid w:val="00B24115"/>
    <w:rsid w:val="00B268B3"/>
    <w:rsid w:val="00B27BA2"/>
    <w:rsid w:val="00B5558F"/>
    <w:rsid w:val="00B57992"/>
    <w:rsid w:val="00B60818"/>
    <w:rsid w:val="00B70D24"/>
    <w:rsid w:val="00B93BC5"/>
    <w:rsid w:val="00BD0FE8"/>
    <w:rsid w:val="00BF4E67"/>
    <w:rsid w:val="00C02BE3"/>
    <w:rsid w:val="00C60603"/>
    <w:rsid w:val="00C9001C"/>
    <w:rsid w:val="00C96B37"/>
    <w:rsid w:val="00C96F1C"/>
    <w:rsid w:val="00CA3617"/>
    <w:rsid w:val="00CB3A31"/>
    <w:rsid w:val="00CB4C86"/>
    <w:rsid w:val="00CD34A0"/>
    <w:rsid w:val="00CD645D"/>
    <w:rsid w:val="00CE531B"/>
    <w:rsid w:val="00D13D65"/>
    <w:rsid w:val="00D20C06"/>
    <w:rsid w:val="00D445DB"/>
    <w:rsid w:val="00D4564F"/>
    <w:rsid w:val="00D61642"/>
    <w:rsid w:val="00D676BD"/>
    <w:rsid w:val="00D95E78"/>
    <w:rsid w:val="00DB2478"/>
    <w:rsid w:val="00DE1DBD"/>
    <w:rsid w:val="00DF7251"/>
    <w:rsid w:val="00E14AA5"/>
    <w:rsid w:val="00E238A1"/>
    <w:rsid w:val="00E313FC"/>
    <w:rsid w:val="00E76FE9"/>
    <w:rsid w:val="00E80EA1"/>
    <w:rsid w:val="00E85A56"/>
    <w:rsid w:val="00E92D2F"/>
    <w:rsid w:val="00EE18F6"/>
    <w:rsid w:val="00F31A55"/>
    <w:rsid w:val="00F40C80"/>
    <w:rsid w:val="00F7465F"/>
    <w:rsid w:val="00FC5A16"/>
    <w:rsid w:val="00FE00EC"/>
    <w:rsid w:val="00FE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F35B"/>
  <w15:docId w15:val="{64D302E8-39AC-4F7B-B4FF-389D8B46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line="264" w:lineRule="exact"/>
      <w:ind w:left="180"/>
      <w:outlineLvl w:val="0"/>
    </w:pPr>
    <w:rPr>
      <w:b/>
      <w:bCs/>
      <w:sz w:val="23"/>
      <w:szCs w:val="23"/>
    </w:rPr>
  </w:style>
  <w:style w:type="paragraph" w:styleId="Titre2">
    <w:name w:val="heading 2"/>
    <w:basedOn w:val="Normal"/>
    <w:uiPriority w:val="9"/>
    <w:unhideWhenUsed/>
    <w:qFormat/>
    <w:pPr>
      <w:spacing w:line="252" w:lineRule="exact"/>
      <w:ind w:left="18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80"/>
    </w:pPr>
  </w:style>
  <w:style w:type="paragraph" w:styleId="Titre">
    <w:name w:val="Title"/>
    <w:basedOn w:val="Normal"/>
    <w:uiPriority w:val="10"/>
    <w:qFormat/>
    <w:pPr>
      <w:ind w:left="60"/>
      <w:jc w:val="center"/>
    </w:pPr>
    <w:rPr>
      <w:b/>
      <w:bCs/>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F5F2C"/>
    <w:pPr>
      <w:tabs>
        <w:tab w:val="center" w:pos="4680"/>
        <w:tab w:val="right" w:pos="9360"/>
      </w:tabs>
    </w:pPr>
  </w:style>
  <w:style w:type="character" w:customStyle="1" w:styleId="En-tteCar">
    <w:name w:val="En-tête Car"/>
    <w:basedOn w:val="Policepardfaut"/>
    <w:link w:val="En-tte"/>
    <w:uiPriority w:val="99"/>
    <w:rsid w:val="000F5F2C"/>
    <w:rPr>
      <w:rFonts w:ascii="Arial" w:eastAsia="Arial" w:hAnsi="Arial" w:cs="Arial"/>
    </w:rPr>
  </w:style>
  <w:style w:type="paragraph" w:styleId="Pieddepage">
    <w:name w:val="footer"/>
    <w:basedOn w:val="Normal"/>
    <w:link w:val="PieddepageCar"/>
    <w:uiPriority w:val="99"/>
    <w:unhideWhenUsed/>
    <w:rsid w:val="000F5F2C"/>
    <w:pPr>
      <w:tabs>
        <w:tab w:val="center" w:pos="4680"/>
        <w:tab w:val="right" w:pos="9360"/>
      </w:tabs>
    </w:pPr>
  </w:style>
  <w:style w:type="character" w:customStyle="1" w:styleId="PieddepageCar">
    <w:name w:val="Pied de page Car"/>
    <w:basedOn w:val="Policepardfaut"/>
    <w:link w:val="Pieddepage"/>
    <w:uiPriority w:val="99"/>
    <w:rsid w:val="000F5F2C"/>
    <w:rPr>
      <w:rFonts w:ascii="Arial" w:eastAsia="Arial" w:hAnsi="Arial" w:cs="Arial"/>
    </w:rPr>
  </w:style>
  <w:style w:type="character" w:customStyle="1" w:styleId="Prompt">
    <w:name w:val="Prompt"/>
    <w:rsid w:val="000F5F2C"/>
    <w:rPr>
      <w:color w:val="0000FF"/>
    </w:rPr>
  </w:style>
  <w:style w:type="paragraph" w:styleId="Notedebasdepage">
    <w:name w:val="footnote text"/>
    <w:basedOn w:val="Normal"/>
    <w:link w:val="NotedebasdepageCar"/>
    <w:uiPriority w:val="99"/>
    <w:semiHidden/>
    <w:unhideWhenUsed/>
    <w:rsid w:val="000F5F2C"/>
    <w:rPr>
      <w:sz w:val="20"/>
      <w:szCs w:val="20"/>
    </w:rPr>
  </w:style>
  <w:style w:type="character" w:customStyle="1" w:styleId="NotedebasdepageCar">
    <w:name w:val="Note de bas de page Car"/>
    <w:basedOn w:val="Policepardfaut"/>
    <w:link w:val="Notedebasdepage"/>
    <w:uiPriority w:val="99"/>
    <w:semiHidden/>
    <w:rsid w:val="000F5F2C"/>
    <w:rPr>
      <w:rFonts w:ascii="Arial" w:eastAsia="Arial" w:hAnsi="Arial" w:cs="Arial"/>
      <w:sz w:val="20"/>
      <w:szCs w:val="20"/>
    </w:rPr>
  </w:style>
  <w:style w:type="character" w:styleId="Appelnotedebasdep">
    <w:name w:val="footnote reference"/>
    <w:basedOn w:val="Policepardfaut"/>
    <w:uiPriority w:val="99"/>
    <w:semiHidden/>
    <w:unhideWhenUsed/>
    <w:rsid w:val="000F5F2C"/>
    <w:rPr>
      <w:vertAlign w:val="superscript"/>
    </w:rPr>
  </w:style>
  <w:style w:type="paragraph" w:customStyle="1" w:styleId="DocID">
    <w:name w:val="DocID"/>
    <w:basedOn w:val="Pieddepage"/>
    <w:next w:val="Pieddepage"/>
    <w:link w:val="DocIDCar"/>
    <w:rsid w:val="000F5F2C"/>
    <w:pPr>
      <w:tabs>
        <w:tab w:val="clear" w:pos="4680"/>
        <w:tab w:val="clear" w:pos="9360"/>
      </w:tabs>
    </w:pPr>
    <w:rPr>
      <w:rFonts w:eastAsia="Times New Roman"/>
      <w:sz w:val="12"/>
      <w:szCs w:val="20"/>
    </w:rPr>
  </w:style>
  <w:style w:type="character" w:customStyle="1" w:styleId="CorpsdetexteCar">
    <w:name w:val="Corps de texte Car"/>
    <w:basedOn w:val="Policepardfaut"/>
    <w:link w:val="Corpsdetexte"/>
    <w:uiPriority w:val="1"/>
    <w:rsid w:val="000F5F2C"/>
    <w:rPr>
      <w:rFonts w:ascii="Arial" w:eastAsia="Arial" w:hAnsi="Arial" w:cs="Arial"/>
    </w:rPr>
  </w:style>
  <w:style w:type="character" w:customStyle="1" w:styleId="DocIDCar">
    <w:name w:val="DocID Car"/>
    <w:basedOn w:val="CorpsdetexteCar"/>
    <w:link w:val="DocID"/>
    <w:rsid w:val="000F5F2C"/>
    <w:rPr>
      <w:rFonts w:ascii="Arial" w:eastAsia="Times New Roman" w:hAnsi="Arial" w:cs="Arial"/>
      <w:sz w:val="12"/>
      <w:szCs w:val="20"/>
      <w:lang w:val="en-US" w:eastAsia="en-US"/>
    </w:rPr>
  </w:style>
  <w:style w:type="character" w:styleId="Hyperlien">
    <w:name w:val="Hyperlink"/>
    <w:basedOn w:val="Policepardfaut"/>
    <w:uiPriority w:val="99"/>
    <w:unhideWhenUsed/>
    <w:rsid w:val="003270A7"/>
    <w:rPr>
      <w:color w:val="0000FF" w:themeColor="hyperlink"/>
      <w:u w:val="single"/>
    </w:rPr>
  </w:style>
  <w:style w:type="character" w:styleId="Mentionnonrsolue">
    <w:name w:val="Unresolved Mention"/>
    <w:basedOn w:val="Policepardfaut"/>
    <w:uiPriority w:val="99"/>
    <w:semiHidden/>
    <w:unhideWhenUsed/>
    <w:rsid w:val="003270A7"/>
    <w:rPr>
      <w:color w:val="605E5C"/>
      <w:shd w:val="clear" w:color="auto" w:fill="E1DFDD"/>
    </w:rPr>
  </w:style>
  <w:style w:type="paragraph" w:styleId="Rvision">
    <w:name w:val="Revision"/>
    <w:hidden/>
    <w:uiPriority w:val="99"/>
    <w:semiHidden/>
    <w:rsid w:val="005C56B9"/>
    <w:pPr>
      <w:widowControl/>
      <w:autoSpaceDE/>
      <w:autoSpaceDN/>
    </w:pPr>
    <w:rPr>
      <w:rFonts w:ascii="Arial" w:eastAsia="Arial" w:hAnsi="Arial" w:cs="Arial"/>
    </w:rPr>
  </w:style>
  <w:style w:type="character" w:styleId="Marquedecommentaire">
    <w:name w:val="annotation reference"/>
    <w:basedOn w:val="Policepardfaut"/>
    <w:uiPriority w:val="99"/>
    <w:semiHidden/>
    <w:unhideWhenUsed/>
    <w:rsid w:val="00FE15A5"/>
    <w:rPr>
      <w:sz w:val="16"/>
      <w:szCs w:val="16"/>
    </w:rPr>
  </w:style>
  <w:style w:type="paragraph" w:styleId="Commentaire">
    <w:name w:val="annotation text"/>
    <w:basedOn w:val="Normal"/>
    <w:link w:val="CommentaireCar"/>
    <w:uiPriority w:val="99"/>
    <w:unhideWhenUsed/>
    <w:rsid w:val="00FE15A5"/>
    <w:rPr>
      <w:sz w:val="20"/>
      <w:szCs w:val="20"/>
    </w:rPr>
  </w:style>
  <w:style w:type="character" w:customStyle="1" w:styleId="CommentaireCar">
    <w:name w:val="Commentaire Car"/>
    <w:basedOn w:val="Policepardfaut"/>
    <w:link w:val="Commentaire"/>
    <w:uiPriority w:val="99"/>
    <w:rsid w:val="00FE15A5"/>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FE15A5"/>
    <w:rPr>
      <w:b/>
      <w:bCs/>
    </w:rPr>
  </w:style>
  <w:style w:type="character" w:customStyle="1" w:styleId="ObjetducommentaireCar">
    <w:name w:val="Objet du commentaire Car"/>
    <w:basedOn w:val="CommentaireCar"/>
    <w:link w:val="Objetducommentaire"/>
    <w:uiPriority w:val="99"/>
    <w:semiHidden/>
    <w:rsid w:val="00FE15A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darplus.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ichard.bengian@bell.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an01.safelinks.protection.outlook.com/?url=https%3A%2F%2Fwww.bce.ca%2F&amp;data=05%7C02%7Canmathieu%40stikeman.com%7Cb89aba4cf6794c02167508dc70f9c623%7C394646dfa1184f83a4f46a20e463e3a8%7C0%7C0%7C638509465281839095%7CUnknown%7CTWFpbGZsb3d8eyJWIjoiMC4wLjAwMDAiLCJQIjoiV2luMzIiLCJBTiI6Ik1haWwiLCJXVCI6Mn0%3D%7C0%7C%7C%7C&amp;sdata=H1%2BsyErQtgI20BaXcL7MAxnr8CIG%2FEo3Y%2B4ax9GDZCY%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n01.safelinks.protection.outlook.com/?url=http%3A%2F%2Fwww.bell.ca%2F&amp;data=05%7C02%7Canmathieu%40stikeman.com%7Cb89aba4cf6794c02167508dc70f9c623%7C394646dfa1184f83a4f46a20e463e3a8%7C0%7C0%7C638509465281820632%7CUnknown%7CTWFpbGZsb3d8eyJWIjoiMC4wLjAwMDAiLCJQIjoiV2luMzIiLCJBTiI6Ik1haWwiLCJXVCI6Mn0%3D%7C0%7C%7C%7C&amp;sdata=00LC%2BqAdAFaHjRkP8sVeGTkQqxjZgyRqLPL0%2F4GOPb0%3D&amp;reserved=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D12A-4B49-4FDE-99C2-A5AEDB1E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1422</Words>
  <Characters>7669</Characters>
  <Application>Microsoft Office Word</Application>
  <DocSecurity>0</DocSecurity>
  <Lines>123</Lines>
  <Paragraphs>29</Paragraphs>
  <ScaleCrop>false</ScaleCrop>
  <Company>Bell Canada</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Legare, Eliane</cp:lastModifiedBy>
  <cp:revision>11</cp:revision>
  <dcterms:created xsi:type="dcterms:W3CDTF">2026-05-27T23:33:00Z</dcterms:created>
  <dcterms:modified xsi:type="dcterms:W3CDTF">2026-05-28T02:25:00Z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ies>
</file>