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DFC3" w14:textId="77777777" w:rsidR="00073FD4" w:rsidRPr="00A81E22" w:rsidRDefault="00073FD4" w:rsidP="00051277">
      <w:pPr>
        <w:rPr>
          <w:b/>
          <w:bCs/>
          <w:sz w:val="22"/>
          <w:szCs w:val="22"/>
          <w:lang w:val="fr-CA"/>
        </w:rPr>
      </w:pPr>
    </w:p>
    <w:p w14:paraId="05F9BFB5" w14:textId="7D0B0691" w:rsidR="00073FD4" w:rsidRPr="0004597D" w:rsidRDefault="00073FD4" w:rsidP="00073FD4">
      <w:pPr>
        <w:pStyle w:val="BodyText"/>
        <w:rPr>
          <w:sz w:val="22"/>
          <w:szCs w:val="22"/>
        </w:rPr>
      </w:pPr>
      <w:r w:rsidRPr="0004597D">
        <w:rPr>
          <w:rFonts w:cs="Arial"/>
          <w:bCs/>
          <w:i/>
          <w:iCs/>
          <w:sz w:val="22"/>
          <w:szCs w:val="22"/>
        </w:rPr>
        <w:t xml:space="preserve">This news release contains forward-looking statements. For a description of the related risk factors and assumptions, please see the section entitled </w:t>
      </w:r>
      <w:r w:rsidR="00255F8C">
        <w:rPr>
          <w:rFonts w:cs="Arial"/>
          <w:bCs/>
          <w:i/>
          <w:iCs/>
          <w:sz w:val="22"/>
          <w:szCs w:val="22"/>
        </w:rPr>
        <w:t>“</w:t>
      </w:r>
      <w:r w:rsidRPr="0004597D">
        <w:rPr>
          <w:rFonts w:cs="Arial"/>
          <w:bCs/>
          <w:i/>
          <w:iCs/>
          <w:sz w:val="22"/>
          <w:szCs w:val="22"/>
        </w:rPr>
        <w:t>Caution Concerning Forward-Looking Statements</w:t>
      </w:r>
      <w:r w:rsidR="00255F8C">
        <w:rPr>
          <w:rFonts w:cs="Arial"/>
          <w:bCs/>
          <w:i/>
          <w:iCs/>
          <w:sz w:val="22"/>
          <w:szCs w:val="22"/>
        </w:rPr>
        <w:t>”</w:t>
      </w:r>
      <w:r w:rsidRPr="0004597D">
        <w:rPr>
          <w:rFonts w:cs="Arial"/>
          <w:bCs/>
          <w:i/>
          <w:iCs/>
          <w:sz w:val="22"/>
          <w:szCs w:val="22"/>
        </w:rPr>
        <w:t xml:space="preserve"> later in this news release.</w:t>
      </w:r>
    </w:p>
    <w:p w14:paraId="46ADD507" w14:textId="1996E7EF" w:rsidR="00F82E50" w:rsidRPr="006811E9" w:rsidRDefault="00F82E50" w:rsidP="00B9451D">
      <w:pPr>
        <w:jc w:val="center"/>
        <w:rPr>
          <w:b/>
          <w:bCs/>
          <w:sz w:val="24"/>
          <w:szCs w:val="24"/>
        </w:rPr>
      </w:pPr>
      <w:r w:rsidRPr="006811E9">
        <w:rPr>
          <w:b/>
          <w:bCs/>
          <w:sz w:val="24"/>
          <w:szCs w:val="24"/>
        </w:rPr>
        <w:t>Bell Announces Pricing of Cash Tender Offers for Debt Securities</w:t>
      </w:r>
    </w:p>
    <w:p w14:paraId="08372D19" w14:textId="7BF04DFD" w:rsidR="00900D41" w:rsidRDefault="0004597D" w:rsidP="00073FD4">
      <w:pPr>
        <w:pStyle w:val="BodyText"/>
        <w:rPr>
          <w:sz w:val="22"/>
          <w:szCs w:val="22"/>
        </w:rPr>
      </w:pPr>
      <w:r w:rsidRPr="00A0431F">
        <w:rPr>
          <w:sz w:val="22"/>
          <w:szCs w:val="22"/>
        </w:rPr>
        <w:t>MONTRÉAL,</w:t>
      </w:r>
      <w:r w:rsidR="00073FD4" w:rsidRPr="00A0431F">
        <w:rPr>
          <w:sz w:val="22"/>
          <w:szCs w:val="22"/>
        </w:rPr>
        <w:t xml:space="preserve"> </w:t>
      </w:r>
      <w:r w:rsidR="00F82E50">
        <w:rPr>
          <w:sz w:val="22"/>
          <w:szCs w:val="22"/>
        </w:rPr>
        <w:t>June 4</w:t>
      </w:r>
      <w:r w:rsidR="00073FD4" w:rsidRPr="00A0431F">
        <w:rPr>
          <w:sz w:val="22"/>
          <w:szCs w:val="22"/>
        </w:rPr>
        <w:t>, 202</w:t>
      </w:r>
      <w:r w:rsidR="008F12AB" w:rsidRPr="00A0431F">
        <w:rPr>
          <w:sz w:val="22"/>
          <w:szCs w:val="22"/>
        </w:rPr>
        <w:t>6</w:t>
      </w:r>
      <w:r w:rsidR="00073FD4" w:rsidRPr="00A0431F">
        <w:rPr>
          <w:sz w:val="22"/>
          <w:szCs w:val="22"/>
        </w:rPr>
        <w:t xml:space="preserve"> </w:t>
      </w:r>
      <w:bookmarkStart w:id="0" w:name="_Hlk191853568"/>
      <w:r w:rsidR="00073FD4" w:rsidRPr="00A0431F">
        <w:rPr>
          <w:sz w:val="22"/>
          <w:szCs w:val="22"/>
        </w:rPr>
        <w:t>––</w:t>
      </w:r>
      <w:bookmarkEnd w:id="0"/>
      <w:r w:rsidR="00073FD4" w:rsidRPr="00A0431F">
        <w:rPr>
          <w:sz w:val="22"/>
          <w:szCs w:val="22"/>
        </w:rPr>
        <w:t xml:space="preserve"> Bell Canada (</w:t>
      </w:r>
      <w:r w:rsidR="00255F8C" w:rsidRPr="00A0431F">
        <w:rPr>
          <w:sz w:val="22"/>
          <w:szCs w:val="22"/>
        </w:rPr>
        <w:t>“</w:t>
      </w:r>
      <w:r w:rsidR="00073FD4" w:rsidRPr="00A0431F">
        <w:rPr>
          <w:sz w:val="22"/>
          <w:szCs w:val="22"/>
        </w:rPr>
        <w:t>Bell</w:t>
      </w:r>
      <w:r w:rsidR="00255F8C" w:rsidRPr="00A0431F">
        <w:rPr>
          <w:sz w:val="22"/>
          <w:szCs w:val="22"/>
        </w:rPr>
        <w:t>”</w:t>
      </w:r>
      <w:r w:rsidR="00073FD4" w:rsidRPr="00A0431F">
        <w:rPr>
          <w:sz w:val="22"/>
          <w:szCs w:val="22"/>
        </w:rPr>
        <w:t xml:space="preserve"> or the </w:t>
      </w:r>
      <w:r w:rsidR="00255F8C" w:rsidRPr="00A0431F">
        <w:rPr>
          <w:sz w:val="22"/>
          <w:szCs w:val="22"/>
        </w:rPr>
        <w:t>“</w:t>
      </w:r>
      <w:r w:rsidR="00073FD4" w:rsidRPr="00A0431F">
        <w:rPr>
          <w:sz w:val="22"/>
          <w:szCs w:val="22"/>
        </w:rPr>
        <w:t>Company</w:t>
      </w:r>
      <w:r w:rsidR="00255F8C" w:rsidRPr="00A0431F">
        <w:rPr>
          <w:sz w:val="22"/>
          <w:szCs w:val="22"/>
        </w:rPr>
        <w:t>”</w:t>
      </w:r>
      <w:r w:rsidR="00073FD4" w:rsidRPr="00A0431F">
        <w:rPr>
          <w:sz w:val="22"/>
          <w:szCs w:val="22"/>
        </w:rPr>
        <w:t xml:space="preserve">) today announced </w:t>
      </w:r>
      <w:r w:rsidR="003560DA" w:rsidRPr="00A0431F">
        <w:rPr>
          <w:sz w:val="22"/>
          <w:szCs w:val="22"/>
        </w:rPr>
        <w:t xml:space="preserve">the pricing of its previously announced </w:t>
      </w:r>
      <w:r w:rsidR="00E44361" w:rsidRPr="00A0431F">
        <w:rPr>
          <w:sz w:val="22"/>
          <w:szCs w:val="22"/>
        </w:rPr>
        <w:t xml:space="preserve">separate offers </w:t>
      </w:r>
      <w:r w:rsidR="00073FD4" w:rsidRPr="00A0431F">
        <w:rPr>
          <w:sz w:val="22"/>
          <w:szCs w:val="22"/>
        </w:rPr>
        <w:t>(the </w:t>
      </w:r>
      <w:r w:rsidR="00255F8C" w:rsidRPr="00A0431F">
        <w:rPr>
          <w:sz w:val="22"/>
          <w:szCs w:val="22"/>
        </w:rPr>
        <w:t>“</w:t>
      </w:r>
      <w:r w:rsidR="00073FD4" w:rsidRPr="00A0431F">
        <w:rPr>
          <w:sz w:val="22"/>
          <w:szCs w:val="22"/>
        </w:rPr>
        <w:t>Offer</w:t>
      </w:r>
      <w:r w:rsidR="00E44361" w:rsidRPr="00A0431F">
        <w:rPr>
          <w:sz w:val="22"/>
          <w:szCs w:val="22"/>
        </w:rPr>
        <w:t>s</w:t>
      </w:r>
      <w:r w:rsidR="00255F8C" w:rsidRPr="00A0431F">
        <w:rPr>
          <w:sz w:val="22"/>
          <w:szCs w:val="22"/>
        </w:rPr>
        <w:t>”</w:t>
      </w:r>
      <w:r w:rsidR="00073FD4" w:rsidRPr="00A0431F">
        <w:rPr>
          <w:sz w:val="22"/>
          <w:szCs w:val="22"/>
        </w:rPr>
        <w:t xml:space="preserve">) to purchase for cash </w:t>
      </w:r>
      <w:r w:rsidR="004E7257" w:rsidRPr="004E7257">
        <w:rPr>
          <w:sz w:val="22"/>
          <w:szCs w:val="22"/>
        </w:rPr>
        <w:t>all tendered C$301,113,000 principal amount of the 4.35% MTN Debentures Series M-39 due 2045, all tendered C$366,626,000 principal amount of the 4.45% MTN Debentures Series M-45 due 2047, C$380,000,000 principal amount of the 5.15% MTN Debentures Series M-60 due 2028, C$60,000,000 principal amount of the 6.55% MTN Debentures Series M-3 due 2029 and C$345,000,000 principal amount of the 2.50% MTN Debentures Series M-52 due 2030</w:t>
      </w:r>
      <w:r w:rsidR="004E7257">
        <w:rPr>
          <w:sz w:val="22"/>
          <w:szCs w:val="22"/>
        </w:rPr>
        <w:t xml:space="preserve">. </w:t>
      </w:r>
      <w:r w:rsidR="00251C0E" w:rsidRPr="002655A3">
        <w:rPr>
          <w:sz w:val="22"/>
          <w:szCs w:val="22"/>
        </w:rPr>
        <w:t xml:space="preserve">As indicated in its press release of June 3, 2026, the Company will not accept the </w:t>
      </w:r>
      <w:r w:rsidR="00B903E1" w:rsidRPr="002655A3">
        <w:rPr>
          <w:sz w:val="22"/>
          <w:szCs w:val="22"/>
        </w:rPr>
        <w:t>5.25% MTN Debentures Series M-62 due 2029, the 2.90% MTN Debentures Series M-50 due 2029, the 3.00% MTN Debentures Series M-54 due 2031</w:t>
      </w:r>
      <w:r w:rsidR="00F10DEA" w:rsidRPr="002655A3">
        <w:rPr>
          <w:sz w:val="22"/>
          <w:szCs w:val="22"/>
        </w:rPr>
        <w:t>, the 4.75% MTN Debentures Series M-31 due 2044 and the 3.80% MTN Debentures Series M-48 due 2028</w:t>
      </w:r>
      <w:r w:rsidR="00251C0E" w:rsidRPr="002655A3">
        <w:rPr>
          <w:sz w:val="22"/>
          <w:szCs w:val="22"/>
        </w:rPr>
        <w:t xml:space="preserve"> which were tendered into the Offers for such Debentures</w:t>
      </w:r>
      <w:r w:rsidR="00C36628">
        <w:rPr>
          <w:sz w:val="22"/>
          <w:szCs w:val="22"/>
        </w:rPr>
        <w:t xml:space="preserve"> (as defined below)</w:t>
      </w:r>
      <w:r w:rsidR="00251C0E" w:rsidRPr="002655A3">
        <w:rPr>
          <w:sz w:val="22"/>
          <w:szCs w:val="22"/>
        </w:rPr>
        <w:t>.</w:t>
      </w:r>
    </w:p>
    <w:p w14:paraId="07238ED8" w14:textId="05D2CC79" w:rsidR="00331C6B" w:rsidRPr="006811E9" w:rsidRDefault="00331C6B" w:rsidP="00051277">
      <w:pPr>
        <w:pStyle w:val="Subtitle"/>
        <w:rPr>
          <w:sz w:val="24"/>
          <w:szCs w:val="24"/>
        </w:rPr>
      </w:pPr>
      <w:r w:rsidRPr="006811E9">
        <w:rPr>
          <w:sz w:val="24"/>
          <w:szCs w:val="24"/>
        </w:rPr>
        <w:t>The Offer</w:t>
      </w:r>
      <w:r w:rsidR="000411E8" w:rsidRPr="006811E9">
        <w:rPr>
          <w:sz w:val="24"/>
          <w:szCs w:val="24"/>
        </w:rPr>
        <w:t>s</w:t>
      </w:r>
    </w:p>
    <w:p w14:paraId="7A2BA46B" w14:textId="3149DBA8" w:rsidR="00331C6B" w:rsidRPr="00A0431F" w:rsidRDefault="00331C6B" w:rsidP="00051277">
      <w:pPr>
        <w:pStyle w:val="BodyText"/>
        <w:rPr>
          <w:sz w:val="22"/>
          <w:szCs w:val="22"/>
        </w:rPr>
      </w:pPr>
      <w:r w:rsidRPr="00A0431F">
        <w:rPr>
          <w:sz w:val="22"/>
          <w:szCs w:val="22"/>
        </w:rPr>
        <w:t>The Offer</w:t>
      </w:r>
      <w:r w:rsidR="00E44361" w:rsidRPr="00A0431F">
        <w:rPr>
          <w:sz w:val="22"/>
          <w:szCs w:val="22"/>
        </w:rPr>
        <w:t>s</w:t>
      </w:r>
      <w:r w:rsidRPr="00A0431F">
        <w:rPr>
          <w:sz w:val="22"/>
          <w:szCs w:val="22"/>
        </w:rPr>
        <w:t xml:space="preserve"> </w:t>
      </w:r>
      <w:r w:rsidR="00E44361" w:rsidRPr="00A0431F">
        <w:rPr>
          <w:sz w:val="22"/>
          <w:szCs w:val="22"/>
        </w:rPr>
        <w:t xml:space="preserve">were </w:t>
      </w:r>
      <w:r w:rsidRPr="00A0431F">
        <w:rPr>
          <w:sz w:val="22"/>
          <w:szCs w:val="22"/>
        </w:rPr>
        <w:t xml:space="preserve">made upon the terms and subject to the conditions set forth in the Offer to Purchase dated </w:t>
      </w:r>
      <w:r w:rsidR="00D9665F" w:rsidRPr="00A0431F">
        <w:rPr>
          <w:sz w:val="22"/>
          <w:szCs w:val="22"/>
        </w:rPr>
        <w:t>May</w:t>
      </w:r>
      <w:r w:rsidR="00E818AE">
        <w:rPr>
          <w:b/>
          <w:bCs/>
          <w:sz w:val="22"/>
          <w:szCs w:val="22"/>
        </w:rPr>
        <w:t xml:space="preserve"> </w:t>
      </w:r>
      <w:r w:rsidR="00E818AE" w:rsidRPr="00B9451D">
        <w:rPr>
          <w:sz w:val="22"/>
          <w:szCs w:val="22"/>
        </w:rPr>
        <w:t>27</w:t>
      </w:r>
      <w:r w:rsidR="004B2F7C" w:rsidRPr="00A0431F">
        <w:rPr>
          <w:sz w:val="22"/>
          <w:szCs w:val="22"/>
        </w:rPr>
        <w:t>, 202</w:t>
      </w:r>
      <w:r w:rsidR="00D9665F" w:rsidRPr="00A0431F">
        <w:rPr>
          <w:sz w:val="22"/>
          <w:szCs w:val="22"/>
        </w:rPr>
        <w:t>6</w:t>
      </w:r>
      <w:r w:rsidR="004B2F7C" w:rsidRPr="00A0431F">
        <w:rPr>
          <w:sz w:val="22"/>
          <w:szCs w:val="22"/>
        </w:rPr>
        <w:t xml:space="preserve"> </w:t>
      </w:r>
      <w:r w:rsidR="00564101" w:rsidRPr="00A0431F">
        <w:rPr>
          <w:sz w:val="22"/>
          <w:szCs w:val="22"/>
          <w:lang w:val="en-US"/>
        </w:rPr>
        <w:t xml:space="preserve">(the “Offer to Purchase”), </w:t>
      </w:r>
      <w:r w:rsidRPr="00A0431F">
        <w:rPr>
          <w:sz w:val="22"/>
          <w:szCs w:val="22"/>
        </w:rPr>
        <w:t xml:space="preserve">relating to the </w:t>
      </w:r>
      <w:r w:rsidR="004E7257" w:rsidRPr="004E7257">
        <w:rPr>
          <w:sz w:val="22"/>
          <w:szCs w:val="22"/>
        </w:rPr>
        <w:t>debentures of the series listed in the table below (collectively, the “Debentures”)</w:t>
      </w:r>
      <w:r w:rsidRPr="00A0431F">
        <w:rPr>
          <w:sz w:val="22"/>
          <w:szCs w:val="22"/>
        </w:rPr>
        <w:t xml:space="preserve">. </w:t>
      </w:r>
      <w:r w:rsidR="00011F46" w:rsidRPr="00011F46">
        <w:rPr>
          <w:sz w:val="22"/>
          <w:szCs w:val="22"/>
          <w:lang w:val="en-US"/>
        </w:rPr>
        <w:t>Except with respect to the increases in the Maximum Purchase Amount</w:t>
      </w:r>
      <w:r w:rsidR="004E7257">
        <w:rPr>
          <w:sz w:val="22"/>
          <w:szCs w:val="22"/>
          <w:lang w:val="en-US"/>
        </w:rPr>
        <w:t xml:space="preserve"> (as defined in</w:t>
      </w:r>
      <w:r w:rsidR="004E7257" w:rsidRPr="004E7257">
        <w:rPr>
          <w:sz w:val="22"/>
          <w:szCs w:val="22"/>
          <w:lang w:val="en-US"/>
        </w:rPr>
        <w:t xml:space="preserve"> </w:t>
      </w:r>
      <w:r w:rsidR="004E7257" w:rsidRPr="00A0431F">
        <w:rPr>
          <w:sz w:val="22"/>
          <w:szCs w:val="22"/>
          <w:lang w:val="en-US"/>
        </w:rPr>
        <w:t>Offer to Purchase</w:t>
      </w:r>
      <w:r w:rsidR="004E7257">
        <w:rPr>
          <w:sz w:val="22"/>
          <w:szCs w:val="22"/>
          <w:lang w:val="en-US"/>
        </w:rPr>
        <w:t xml:space="preserve">) </w:t>
      </w:r>
      <w:r w:rsidR="00011F46" w:rsidRPr="00011F46">
        <w:rPr>
          <w:sz w:val="22"/>
          <w:szCs w:val="22"/>
          <w:lang w:val="en-US"/>
        </w:rPr>
        <w:t xml:space="preserve">announced by news release on May 27, 2026 and </w:t>
      </w:r>
      <w:r w:rsidR="004E7257" w:rsidRPr="00011F46">
        <w:rPr>
          <w:sz w:val="22"/>
          <w:szCs w:val="22"/>
          <w:lang w:val="en-US"/>
        </w:rPr>
        <w:t xml:space="preserve">on </w:t>
      </w:r>
      <w:r w:rsidR="004E7257">
        <w:rPr>
          <w:sz w:val="22"/>
          <w:szCs w:val="22"/>
          <w:lang w:val="en-US"/>
        </w:rPr>
        <w:t>June</w:t>
      </w:r>
      <w:r w:rsidR="004E7257" w:rsidRPr="00011F46">
        <w:rPr>
          <w:sz w:val="22"/>
          <w:szCs w:val="22"/>
          <w:lang w:val="en-US"/>
        </w:rPr>
        <w:t xml:space="preserve"> </w:t>
      </w:r>
      <w:r w:rsidR="004E7257">
        <w:rPr>
          <w:sz w:val="22"/>
          <w:szCs w:val="22"/>
          <w:lang w:val="en-US"/>
        </w:rPr>
        <w:t>3</w:t>
      </w:r>
      <w:r w:rsidR="004E7257" w:rsidRPr="00011F46">
        <w:rPr>
          <w:sz w:val="22"/>
          <w:szCs w:val="22"/>
          <w:lang w:val="en-US"/>
        </w:rPr>
        <w:t>, 2026</w:t>
      </w:r>
      <w:r w:rsidR="00011F46" w:rsidRPr="00011F46">
        <w:rPr>
          <w:sz w:val="22"/>
          <w:szCs w:val="22"/>
          <w:lang w:val="en-US"/>
        </w:rPr>
        <w:t>, no other terms of the Offers set forth in the Offer to Purchase have changed.</w:t>
      </w:r>
      <w:r w:rsidR="004E7257">
        <w:rPr>
          <w:sz w:val="22"/>
          <w:szCs w:val="22"/>
          <w:lang w:val="en-US"/>
        </w:rPr>
        <w:t xml:space="preserve"> </w:t>
      </w:r>
      <w:r w:rsidR="004B2F7C" w:rsidRPr="00A0431F">
        <w:rPr>
          <w:sz w:val="22"/>
          <w:szCs w:val="22"/>
        </w:rPr>
        <w:t>The Debentures are unconditionally guaranteed as to payment of principal, interest and other obligations by BCE Inc. (</w:t>
      </w:r>
      <w:r w:rsidR="00255F8C" w:rsidRPr="00A0431F">
        <w:rPr>
          <w:sz w:val="22"/>
          <w:szCs w:val="22"/>
        </w:rPr>
        <w:t>“</w:t>
      </w:r>
      <w:r w:rsidR="004B2F7C" w:rsidRPr="00A0431F">
        <w:rPr>
          <w:sz w:val="22"/>
          <w:szCs w:val="22"/>
        </w:rPr>
        <w:t>BCE</w:t>
      </w:r>
      <w:r w:rsidR="00255F8C" w:rsidRPr="00A0431F">
        <w:rPr>
          <w:sz w:val="22"/>
          <w:szCs w:val="22"/>
        </w:rPr>
        <w:t>”</w:t>
      </w:r>
      <w:r w:rsidR="004B2F7C" w:rsidRPr="00A0431F">
        <w:rPr>
          <w:sz w:val="22"/>
          <w:szCs w:val="22"/>
        </w:rPr>
        <w:t xml:space="preserve">), Bell’s parent company. </w:t>
      </w:r>
      <w:r w:rsidRPr="00A0431F">
        <w:rPr>
          <w:sz w:val="22"/>
          <w:szCs w:val="22"/>
        </w:rPr>
        <w:t>Capitalized terms used but not defined in this news release have the meanings given to them in the Offer to Purchase.</w:t>
      </w:r>
    </w:p>
    <w:p w14:paraId="45B9A318" w14:textId="6083CC83" w:rsidR="00331C6B" w:rsidRPr="00A0431F" w:rsidRDefault="00331C6B" w:rsidP="00051277">
      <w:pPr>
        <w:pStyle w:val="BodyText"/>
        <w:rPr>
          <w:sz w:val="22"/>
          <w:szCs w:val="22"/>
        </w:rPr>
      </w:pPr>
      <w:r w:rsidRPr="00A0431F">
        <w:rPr>
          <w:sz w:val="22"/>
          <w:szCs w:val="22"/>
        </w:rPr>
        <w:t xml:space="preserve">The table below sets out the aggregate principal </w:t>
      </w:r>
      <w:proofErr w:type="gramStart"/>
      <w:r w:rsidRPr="00A0431F">
        <w:rPr>
          <w:sz w:val="22"/>
          <w:szCs w:val="22"/>
        </w:rPr>
        <w:t>amount</w:t>
      </w:r>
      <w:proofErr w:type="gramEnd"/>
      <w:r w:rsidRPr="00A0431F">
        <w:rPr>
          <w:sz w:val="22"/>
          <w:szCs w:val="22"/>
        </w:rPr>
        <w:t xml:space="preserve"> of </w:t>
      </w:r>
      <w:r w:rsidR="004B2F7C" w:rsidRPr="00A0431F">
        <w:rPr>
          <w:sz w:val="22"/>
          <w:szCs w:val="22"/>
        </w:rPr>
        <w:t>Debentures</w:t>
      </w:r>
      <w:r w:rsidRPr="00A0431F">
        <w:rPr>
          <w:sz w:val="22"/>
          <w:szCs w:val="22"/>
        </w:rPr>
        <w:t xml:space="preserve"> accepted for purchase, the </w:t>
      </w:r>
      <w:r w:rsidR="001A4ABA" w:rsidRPr="00A0431F">
        <w:rPr>
          <w:sz w:val="22"/>
          <w:szCs w:val="22"/>
        </w:rPr>
        <w:t>Reference</w:t>
      </w:r>
      <w:r w:rsidRPr="00A0431F">
        <w:rPr>
          <w:sz w:val="22"/>
          <w:szCs w:val="22"/>
        </w:rPr>
        <w:t xml:space="preserve"> Yield and the Total Consideration in respect of the </w:t>
      </w:r>
      <w:r w:rsidR="004B2F7C" w:rsidRPr="00A0431F">
        <w:rPr>
          <w:sz w:val="22"/>
          <w:szCs w:val="22"/>
        </w:rPr>
        <w:t>Debentures</w:t>
      </w:r>
      <w:r w:rsidRPr="00A0431F">
        <w:rPr>
          <w:sz w:val="22"/>
          <w:szCs w:val="22"/>
        </w:rPr>
        <w:t xml:space="preserve"> validly tendered and accepted for purchase pursuant to the Offer</w:t>
      </w:r>
      <w:r w:rsidR="00271697" w:rsidRPr="00A0431F">
        <w:rPr>
          <w:sz w:val="22"/>
          <w:szCs w:val="22"/>
        </w:rPr>
        <w:t>s</w:t>
      </w:r>
      <w:r w:rsidRPr="00A0431F">
        <w:rPr>
          <w:sz w:val="22"/>
          <w:szCs w:val="22"/>
        </w:rPr>
        <w:t xml:space="preserve"> for such </w:t>
      </w:r>
      <w:r w:rsidR="004B2F7C" w:rsidRPr="00A0431F">
        <w:rPr>
          <w:sz w:val="22"/>
          <w:szCs w:val="22"/>
        </w:rPr>
        <w:t>Debentures</w:t>
      </w:r>
      <w:r w:rsidR="00E708B4" w:rsidRPr="00A0431F">
        <w:rPr>
          <w:sz w:val="22"/>
          <w:szCs w:val="22"/>
        </w:rPr>
        <w:t>.</w:t>
      </w:r>
    </w:p>
    <w:tbl>
      <w:tblPr>
        <w:tblStyle w:val="TableNormal1"/>
        <w:tblW w:w="1089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420"/>
        <w:gridCol w:w="1710"/>
        <w:gridCol w:w="810"/>
        <w:gridCol w:w="1080"/>
        <w:gridCol w:w="1170"/>
        <w:gridCol w:w="900"/>
        <w:gridCol w:w="1260"/>
        <w:gridCol w:w="1350"/>
      </w:tblGrid>
      <w:tr w:rsidR="00A0431F" w:rsidRPr="00A0431F" w14:paraId="5C2059DE" w14:textId="77777777" w:rsidTr="00B9451D">
        <w:tc>
          <w:tcPr>
            <w:tcW w:w="1190" w:type="dxa"/>
            <w:vAlign w:val="center"/>
          </w:tcPr>
          <w:p w14:paraId="0FEFD9DD" w14:textId="43EAB384" w:rsidR="004F33C3" w:rsidRPr="00A0431F" w:rsidRDefault="004F33C3" w:rsidP="0056637A">
            <w:pPr>
              <w:spacing w:before="40" w:after="40"/>
              <w:ind w:left="91"/>
              <w:jc w:val="center"/>
              <w:rPr>
                <w:rFonts w:ascii="Arial" w:hAnsi="Arial" w:cs="Arial"/>
                <w:b/>
                <w:kern w:val="28"/>
                <w:sz w:val="16"/>
                <w:szCs w:val="16"/>
              </w:rPr>
            </w:pPr>
            <w:r w:rsidRPr="00A0431F">
              <w:rPr>
                <w:rFonts w:ascii="Arial" w:hAnsi="Arial" w:cs="Arial"/>
                <w:b/>
                <w:kern w:val="28"/>
                <w:sz w:val="16"/>
                <w:szCs w:val="16"/>
              </w:rPr>
              <w:t xml:space="preserve">Title of </w:t>
            </w:r>
            <w:proofErr w:type="gramStart"/>
            <w:r w:rsidR="004B2F7C" w:rsidRPr="00A0431F">
              <w:rPr>
                <w:rFonts w:ascii="Arial" w:hAnsi="Arial" w:cs="Arial"/>
                <w:b/>
                <w:kern w:val="28"/>
                <w:sz w:val="16"/>
                <w:szCs w:val="16"/>
              </w:rPr>
              <w:t>Debentures</w:t>
            </w:r>
            <w:r w:rsidRPr="00A0431F">
              <w:rPr>
                <w:rFonts w:ascii="Arial" w:hAnsi="Arial" w:cs="Arial"/>
                <w:b/>
                <w:kern w:val="28"/>
                <w:sz w:val="16"/>
                <w:szCs w:val="16"/>
                <w:vertAlign w:val="superscript"/>
              </w:rPr>
              <w:t>(</w:t>
            </w:r>
            <w:proofErr w:type="gramEnd"/>
            <w:r w:rsidRPr="00A0431F">
              <w:rPr>
                <w:rFonts w:ascii="Arial" w:hAnsi="Arial" w:cs="Arial"/>
                <w:b/>
                <w:kern w:val="28"/>
                <w:sz w:val="16"/>
                <w:szCs w:val="16"/>
                <w:vertAlign w:val="superscript"/>
              </w:rPr>
              <w:t>1)</w:t>
            </w:r>
          </w:p>
        </w:tc>
        <w:tc>
          <w:tcPr>
            <w:tcW w:w="1420" w:type="dxa"/>
            <w:vAlign w:val="center"/>
          </w:tcPr>
          <w:p w14:paraId="7F85B897" w14:textId="565D2EF6" w:rsidR="004F33C3" w:rsidRPr="00A0431F" w:rsidRDefault="004F33C3" w:rsidP="008E157C">
            <w:pPr>
              <w:spacing w:before="40" w:after="40"/>
              <w:ind w:left="5"/>
              <w:jc w:val="center"/>
              <w:rPr>
                <w:rFonts w:ascii="Arial" w:hAnsi="Arial" w:cs="Arial"/>
                <w:b/>
                <w:kern w:val="28"/>
                <w:sz w:val="16"/>
                <w:szCs w:val="16"/>
              </w:rPr>
            </w:pPr>
            <w:r w:rsidRPr="00A0431F">
              <w:rPr>
                <w:rFonts w:ascii="Arial" w:hAnsi="Arial" w:cs="Arial"/>
                <w:b/>
                <w:kern w:val="28"/>
                <w:sz w:val="16"/>
                <w:szCs w:val="16"/>
              </w:rPr>
              <w:t>Principal</w:t>
            </w:r>
            <w:r w:rsidR="00B47DBA" w:rsidRPr="00A0431F">
              <w:rPr>
                <w:rFonts w:ascii="Arial" w:hAnsi="Arial" w:cs="Arial"/>
                <w:b/>
                <w:kern w:val="28"/>
                <w:sz w:val="16"/>
                <w:szCs w:val="16"/>
              </w:rPr>
              <w:br/>
            </w:r>
            <w:r w:rsidRPr="00A0431F">
              <w:rPr>
                <w:rFonts w:ascii="Arial" w:hAnsi="Arial" w:cs="Arial"/>
                <w:b/>
                <w:kern w:val="28"/>
                <w:sz w:val="16"/>
                <w:szCs w:val="16"/>
              </w:rPr>
              <w:t>Amount Outstanding</w:t>
            </w:r>
          </w:p>
        </w:tc>
        <w:tc>
          <w:tcPr>
            <w:tcW w:w="1710" w:type="dxa"/>
            <w:vAlign w:val="center"/>
          </w:tcPr>
          <w:p w14:paraId="61D5E4F5" w14:textId="256069DA" w:rsidR="004F33C3" w:rsidRPr="00A0431F" w:rsidRDefault="004F33C3" w:rsidP="008E157C">
            <w:pPr>
              <w:spacing w:before="40" w:after="40"/>
              <w:jc w:val="center"/>
              <w:rPr>
                <w:rFonts w:ascii="Arial" w:hAnsi="Arial" w:cs="Arial"/>
                <w:b/>
                <w:kern w:val="28"/>
                <w:sz w:val="16"/>
                <w:szCs w:val="16"/>
              </w:rPr>
            </w:pPr>
            <w:r w:rsidRPr="00A0431F">
              <w:rPr>
                <w:rFonts w:ascii="Arial" w:hAnsi="Arial" w:cs="Arial"/>
                <w:b/>
                <w:kern w:val="28"/>
                <w:sz w:val="16"/>
                <w:szCs w:val="16"/>
              </w:rPr>
              <w:t xml:space="preserve">CUSIP / ISIN </w:t>
            </w:r>
            <w:proofErr w:type="gramStart"/>
            <w:r w:rsidRPr="00A0431F">
              <w:rPr>
                <w:rFonts w:ascii="Arial" w:hAnsi="Arial" w:cs="Arial"/>
                <w:b/>
                <w:kern w:val="28"/>
                <w:sz w:val="16"/>
                <w:szCs w:val="16"/>
              </w:rPr>
              <w:t>Nos</w:t>
            </w:r>
            <w:r w:rsidR="00520302">
              <w:rPr>
                <w:rFonts w:ascii="Arial" w:hAnsi="Arial" w:cs="Arial"/>
                <w:b/>
                <w:kern w:val="28"/>
                <w:sz w:val="16"/>
                <w:szCs w:val="16"/>
              </w:rPr>
              <w:t>.</w:t>
            </w:r>
            <w:r w:rsidRPr="00A0431F">
              <w:rPr>
                <w:rFonts w:ascii="Arial" w:hAnsi="Arial" w:cs="Arial"/>
                <w:b/>
                <w:kern w:val="28"/>
                <w:sz w:val="16"/>
                <w:szCs w:val="16"/>
                <w:vertAlign w:val="superscript"/>
              </w:rPr>
              <w:t>(</w:t>
            </w:r>
            <w:proofErr w:type="gramEnd"/>
            <w:r w:rsidRPr="00A0431F">
              <w:rPr>
                <w:rFonts w:ascii="Arial" w:hAnsi="Arial" w:cs="Arial"/>
                <w:b/>
                <w:kern w:val="28"/>
                <w:sz w:val="16"/>
                <w:szCs w:val="16"/>
                <w:vertAlign w:val="superscript"/>
              </w:rPr>
              <w:t>1)</w:t>
            </w:r>
          </w:p>
        </w:tc>
        <w:tc>
          <w:tcPr>
            <w:tcW w:w="810" w:type="dxa"/>
            <w:vAlign w:val="center"/>
          </w:tcPr>
          <w:p w14:paraId="2DF222B8" w14:textId="77777777" w:rsidR="004F33C3" w:rsidRPr="00A0431F" w:rsidRDefault="004F33C3" w:rsidP="008E157C">
            <w:pPr>
              <w:spacing w:before="40" w:after="40"/>
              <w:jc w:val="center"/>
              <w:rPr>
                <w:rFonts w:ascii="Arial" w:hAnsi="Arial" w:cs="Arial"/>
                <w:b/>
                <w:kern w:val="28"/>
                <w:sz w:val="16"/>
                <w:szCs w:val="16"/>
              </w:rPr>
            </w:pPr>
            <w:r w:rsidRPr="00A0431F">
              <w:rPr>
                <w:rFonts w:ascii="Arial" w:hAnsi="Arial" w:cs="Arial"/>
                <w:b/>
                <w:kern w:val="28"/>
                <w:sz w:val="16"/>
                <w:szCs w:val="16"/>
              </w:rPr>
              <w:t>Reference Security</w:t>
            </w:r>
          </w:p>
        </w:tc>
        <w:tc>
          <w:tcPr>
            <w:tcW w:w="1080" w:type="dxa"/>
            <w:vAlign w:val="center"/>
          </w:tcPr>
          <w:p w14:paraId="3D2ABF44" w14:textId="77777777" w:rsidR="004F33C3" w:rsidRPr="00A0431F" w:rsidRDefault="004F33C3" w:rsidP="008E157C">
            <w:pPr>
              <w:spacing w:before="40" w:after="40"/>
              <w:ind w:left="7"/>
              <w:jc w:val="center"/>
              <w:rPr>
                <w:rFonts w:ascii="Arial" w:hAnsi="Arial" w:cs="Arial"/>
                <w:b/>
                <w:kern w:val="28"/>
                <w:sz w:val="16"/>
                <w:szCs w:val="16"/>
              </w:rPr>
            </w:pPr>
            <w:r w:rsidRPr="00A0431F">
              <w:rPr>
                <w:rFonts w:ascii="Arial" w:hAnsi="Arial" w:cs="Arial"/>
                <w:b/>
                <w:kern w:val="28"/>
                <w:sz w:val="16"/>
                <w:szCs w:val="16"/>
              </w:rPr>
              <w:t>Bloomberg Reference Page</w:t>
            </w:r>
          </w:p>
        </w:tc>
        <w:tc>
          <w:tcPr>
            <w:tcW w:w="1170" w:type="dxa"/>
            <w:vAlign w:val="center"/>
          </w:tcPr>
          <w:p w14:paraId="736FCC19" w14:textId="7BAC1726" w:rsidR="004F33C3" w:rsidRPr="00A0431F" w:rsidRDefault="001A4ABA" w:rsidP="008E157C">
            <w:pPr>
              <w:spacing w:before="40" w:after="40"/>
              <w:jc w:val="center"/>
              <w:rPr>
                <w:rFonts w:ascii="Arial" w:hAnsi="Arial" w:cs="Arial"/>
                <w:b/>
                <w:kern w:val="28"/>
                <w:sz w:val="16"/>
                <w:szCs w:val="16"/>
              </w:rPr>
            </w:pPr>
            <w:r w:rsidRPr="00A0431F">
              <w:rPr>
                <w:rFonts w:ascii="Arial" w:hAnsi="Arial" w:cs="Arial"/>
                <w:b/>
                <w:kern w:val="28"/>
                <w:sz w:val="16"/>
                <w:szCs w:val="16"/>
              </w:rPr>
              <w:t>Reference</w:t>
            </w:r>
            <w:r w:rsidR="004F33C3" w:rsidRPr="00A0431F">
              <w:rPr>
                <w:rFonts w:ascii="Arial" w:hAnsi="Arial" w:cs="Arial"/>
                <w:b/>
                <w:kern w:val="28"/>
                <w:sz w:val="16"/>
                <w:szCs w:val="16"/>
              </w:rPr>
              <w:t xml:space="preserve"> Yield</w:t>
            </w:r>
          </w:p>
        </w:tc>
        <w:tc>
          <w:tcPr>
            <w:tcW w:w="900" w:type="dxa"/>
            <w:vAlign w:val="center"/>
          </w:tcPr>
          <w:p w14:paraId="22F5D0F2" w14:textId="77777777" w:rsidR="004F33C3" w:rsidRPr="00A0431F" w:rsidRDefault="004F33C3" w:rsidP="008E157C">
            <w:pPr>
              <w:spacing w:before="40" w:after="40"/>
              <w:jc w:val="center"/>
              <w:rPr>
                <w:rFonts w:ascii="Arial" w:hAnsi="Arial" w:cs="Arial"/>
                <w:b/>
                <w:kern w:val="28"/>
                <w:sz w:val="16"/>
                <w:szCs w:val="16"/>
              </w:rPr>
            </w:pPr>
            <w:r w:rsidRPr="00A0431F">
              <w:rPr>
                <w:rFonts w:ascii="Arial" w:hAnsi="Arial" w:cs="Arial"/>
                <w:b/>
                <w:kern w:val="28"/>
                <w:sz w:val="16"/>
                <w:szCs w:val="16"/>
              </w:rPr>
              <w:t>Fixed Spread (Basis</w:t>
            </w:r>
          </w:p>
          <w:p w14:paraId="4B5DA31D" w14:textId="77777777" w:rsidR="004F33C3" w:rsidRPr="00A0431F" w:rsidRDefault="004F33C3" w:rsidP="008E157C">
            <w:pPr>
              <w:spacing w:before="40" w:after="40"/>
              <w:jc w:val="center"/>
              <w:rPr>
                <w:rFonts w:ascii="Arial" w:hAnsi="Arial" w:cs="Arial"/>
                <w:b/>
                <w:kern w:val="28"/>
                <w:sz w:val="16"/>
                <w:szCs w:val="16"/>
              </w:rPr>
            </w:pPr>
            <w:r w:rsidRPr="00A0431F">
              <w:rPr>
                <w:rFonts w:ascii="Arial" w:hAnsi="Arial" w:cs="Arial"/>
                <w:b/>
                <w:kern w:val="28"/>
                <w:sz w:val="16"/>
                <w:szCs w:val="16"/>
              </w:rPr>
              <w:t>Points)</w:t>
            </w:r>
          </w:p>
        </w:tc>
        <w:tc>
          <w:tcPr>
            <w:tcW w:w="1260" w:type="dxa"/>
            <w:vAlign w:val="center"/>
          </w:tcPr>
          <w:p w14:paraId="6899B9EF" w14:textId="77777777" w:rsidR="004F33C3" w:rsidRPr="00A0431F" w:rsidRDefault="004F33C3" w:rsidP="008E157C">
            <w:pPr>
              <w:spacing w:before="40" w:after="40"/>
              <w:ind w:left="32"/>
              <w:jc w:val="center"/>
              <w:rPr>
                <w:rFonts w:ascii="Arial" w:hAnsi="Arial" w:cs="Arial"/>
                <w:b/>
                <w:kern w:val="28"/>
                <w:sz w:val="16"/>
                <w:szCs w:val="16"/>
              </w:rPr>
            </w:pPr>
            <w:r w:rsidRPr="00A0431F">
              <w:rPr>
                <w:rFonts w:ascii="Arial" w:hAnsi="Arial" w:cs="Arial"/>
                <w:b/>
                <w:kern w:val="28"/>
                <w:sz w:val="16"/>
                <w:szCs w:val="16"/>
              </w:rPr>
              <w:t>Total Consideration</w:t>
            </w:r>
            <w:r w:rsidRPr="00A0431F">
              <w:rPr>
                <w:rFonts w:ascii="Arial" w:hAnsi="Arial" w:cs="Arial"/>
                <w:b/>
                <w:kern w:val="28"/>
                <w:sz w:val="16"/>
                <w:szCs w:val="16"/>
                <w:vertAlign w:val="superscript"/>
              </w:rPr>
              <w:t>(2)</w:t>
            </w:r>
          </w:p>
        </w:tc>
        <w:tc>
          <w:tcPr>
            <w:tcW w:w="1350" w:type="dxa"/>
            <w:vAlign w:val="center"/>
          </w:tcPr>
          <w:p w14:paraId="6C7EEB93" w14:textId="39387896" w:rsidR="004F33C3" w:rsidRPr="00A0431F" w:rsidRDefault="004F33C3" w:rsidP="008E157C">
            <w:pPr>
              <w:spacing w:before="40" w:after="40"/>
              <w:ind w:left="2"/>
              <w:jc w:val="center"/>
              <w:rPr>
                <w:rFonts w:ascii="Arial" w:hAnsi="Arial" w:cs="Arial"/>
                <w:b/>
                <w:kern w:val="28"/>
                <w:sz w:val="16"/>
                <w:szCs w:val="16"/>
              </w:rPr>
            </w:pPr>
            <w:r w:rsidRPr="00A0431F">
              <w:rPr>
                <w:rFonts w:ascii="Arial" w:hAnsi="Arial" w:cs="Arial"/>
                <w:b/>
                <w:kern w:val="28"/>
                <w:sz w:val="16"/>
                <w:szCs w:val="16"/>
              </w:rPr>
              <w:t>Principal Amount Accepted</w:t>
            </w:r>
            <w:r w:rsidR="008965DB" w:rsidRPr="008965DB">
              <w:rPr>
                <w:rFonts w:ascii="Arial" w:hAnsi="Arial" w:cs="Arial"/>
                <w:b/>
                <w:kern w:val="28"/>
                <w:sz w:val="16"/>
                <w:szCs w:val="16"/>
                <w:vertAlign w:val="superscript"/>
              </w:rPr>
              <w:t>(3)</w:t>
            </w:r>
          </w:p>
        </w:tc>
      </w:tr>
      <w:tr w:rsidR="00520302" w:rsidRPr="00A0431F" w14:paraId="7ECBF876" w14:textId="77777777" w:rsidTr="00B9451D">
        <w:tc>
          <w:tcPr>
            <w:tcW w:w="1190" w:type="dxa"/>
          </w:tcPr>
          <w:p w14:paraId="70EB1A07" w14:textId="4EF55A5F" w:rsidR="00520302" w:rsidRPr="00A0431F" w:rsidRDefault="00520302" w:rsidP="00520302">
            <w:pPr>
              <w:spacing w:before="40" w:after="40"/>
              <w:ind w:left="91"/>
              <w:jc w:val="center"/>
              <w:rPr>
                <w:rFonts w:ascii="Arial" w:hAnsi="Arial" w:cs="Arial"/>
                <w:kern w:val="28"/>
                <w:sz w:val="16"/>
                <w:szCs w:val="16"/>
              </w:rPr>
            </w:pPr>
            <w:r>
              <w:rPr>
                <w:rFonts w:asciiTheme="majorHAnsi" w:hAnsiTheme="majorHAnsi" w:cstheme="majorHAnsi"/>
                <w:w w:val="105"/>
                <w:sz w:val="16"/>
                <w:szCs w:val="16"/>
              </w:rPr>
              <w:t>4.35% MTN Debentures Series M-39 due 2045</w:t>
            </w:r>
          </w:p>
        </w:tc>
        <w:tc>
          <w:tcPr>
            <w:tcW w:w="1420" w:type="dxa"/>
          </w:tcPr>
          <w:p w14:paraId="06527C0D" w14:textId="557B88D3" w:rsidR="00520302" w:rsidRPr="00A0431F" w:rsidRDefault="00520302" w:rsidP="00520302">
            <w:pPr>
              <w:spacing w:before="40" w:after="40"/>
              <w:ind w:left="5"/>
              <w:jc w:val="center"/>
              <w:rPr>
                <w:rFonts w:ascii="Arial" w:hAnsi="Arial" w:cs="Arial"/>
                <w:kern w:val="28"/>
                <w:sz w:val="16"/>
                <w:szCs w:val="16"/>
              </w:rPr>
            </w:pPr>
            <w:r>
              <w:rPr>
                <w:rFonts w:asciiTheme="majorHAnsi" w:hAnsiTheme="majorHAnsi" w:cstheme="majorHAnsi"/>
                <w:w w:val="105"/>
                <w:sz w:val="16"/>
                <w:szCs w:val="16"/>
              </w:rPr>
              <w:t>C$395,000,000</w:t>
            </w:r>
          </w:p>
        </w:tc>
        <w:tc>
          <w:tcPr>
            <w:tcW w:w="1710" w:type="dxa"/>
          </w:tcPr>
          <w:p w14:paraId="4E476384" w14:textId="77777777" w:rsidR="00520302" w:rsidRDefault="00520302" w:rsidP="00520302">
            <w:pPr>
              <w:pStyle w:val="Tabletext1"/>
              <w:spacing w:before="40" w:after="40"/>
              <w:ind w:left="130" w:right="170" w:firstLine="111"/>
              <w:jc w:val="center"/>
              <w:rPr>
                <w:rFonts w:asciiTheme="majorHAnsi" w:eastAsia="Calibri" w:hAnsiTheme="majorHAnsi" w:cstheme="majorHAnsi"/>
                <w:w w:val="105"/>
                <w:kern w:val="0"/>
                <w:sz w:val="16"/>
                <w:szCs w:val="16"/>
              </w:rPr>
            </w:pPr>
            <w:r>
              <w:rPr>
                <w:rFonts w:asciiTheme="majorHAnsi" w:eastAsia="Calibri" w:hAnsiTheme="majorHAnsi" w:cstheme="majorHAnsi"/>
                <w:w w:val="105"/>
                <w:kern w:val="0"/>
                <w:sz w:val="16"/>
                <w:szCs w:val="16"/>
              </w:rPr>
              <w:t>07813ZBR4 /</w:t>
            </w:r>
          </w:p>
          <w:p w14:paraId="7DCA0FA4" w14:textId="369858F6" w:rsidR="00520302" w:rsidRPr="00A0431F" w:rsidRDefault="00520302" w:rsidP="00520302">
            <w:pPr>
              <w:spacing w:before="40" w:after="40"/>
              <w:jc w:val="center"/>
              <w:rPr>
                <w:rFonts w:ascii="Arial" w:hAnsi="Arial" w:cs="Arial"/>
                <w:kern w:val="28"/>
                <w:sz w:val="16"/>
                <w:szCs w:val="16"/>
              </w:rPr>
            </w:pPr>
            <w:r>
              <w:rPr>
                <w:rFonts w:asciiTheme="majorHAnsi" w:hAnsiTheme="majorHAnsi" w:cstheme="majorHAnsi"/>
                <w:w w:val="105"/>
                <w:sz w:val="16"/>
                <w:szCs w:val="16"/>
              </w:rPr>
              <w:t>CA07813ZBR43</w:t>
            </w:r>
          </w:p>
        </w:tc>
        <w:tc>
          <w:tcPr>
            <w:tcW w:w="810" w:type="dxa"/>
          </w:tcPr>
          <w:p w14:paraId="2EBAA8A0" w14:textId="6952C7E1" w:rsidR="00520302" w:rsidRPr="00A0431F" w:rsidRDefault="00520302" w:rsidP="00520302">
            <w:pPr>
              <w:spacing w:before="40" w:after="40"/>
              <w:jc w:val="center"/>
              <w:rPr>
                <w:rFonts w:ascii="Arial" w:hAnsi="Arial" w:cs="Arial"/>
                <w:kern w:val="28"/>
                <w:sz w:val="16"/>
                <w:szCs w:val="16"/>
              </w:rPr>
            </w:pPr>
            <w:r>
              <w:rPr>
                <w:rFonts w:asciiTheme="majorHAnsi" w:hAnsiTheme="majorHAnsi" w:cstheme="majorHAnsi"/>
                <w:sz w:val="16"/>
                <w:szCs w:val="16"/>
              </w:rPr>
              <w:t>CAN 3 ½ 12/01/57</w:t>
            </w:r>
          </w:p>
        </w:tc>
        <w:tc>
          <w:tcPr>
            <w:tcW w:w="1080" w:type="dxa"/>
          </w:tcPr>
          <w:p w14:paraId="45D94022" w14:textId="23B6B312" w:rsidR="00520302" w:rsidRPr="00A0431F" w:rsidRDefault="00520302" w:rsidP="00520302">
            <w:pPr>
              <w:spacing w:before="40" w:after="40"/>
              <w:ind w:left="7"/>
              <w:jc w:val="center"/>
              <w:rPr>
                <w:rFonts w:ascii="Arial" w:hAnsi="Arial" w:cs="Arial"/>
                <w:kern w:val="28"/>
                <w:sz w:val="16"/>
                <w:szCs w:val="16"/>
              </w:rPr>
            </w:pPr>
            <w:r>
              <w:rPr>
                <w:rFonts w:asciiTheme="majorHAnsi" w:hAnsiTheme="majorHAnsi" w:cstheme="majorHAnsi"/>
                <w:w w:val="105"/>
                <w:sz w:val="16"/>
                <w:szCs w:val="16"/>
              </w:rPr>
              <w:t>FIT CAN0-50</w:t>
            </w:r>
          </w:p>
        </w:tc>
        <w:tc>
          <w:tcPr>
            <w:tcW w:w="1170" w:type="dxa"/>
          </w:tcPr>
          <w:p w14:paraId="3A7E4333" w14:textId="66735688" w:rsidR="00520302" w:rsidRPr="003552B1" w:rsidRDefault="002655A3" w:rsidP="00520302">
            <w:pPr>
              <w:spacing w:before="40" w:after="40"/>
              <w:jc w:val="center"/>
              <w:rPr>
                <w:rFonts w:ascii="Arial" w:hAnsi="Arial" w:cs="Arial"/>
                <w:kern w:val="28"/>
                <w:sz w:val="16"/>
                <w:szCs w:val="16"/>
              </w:rPr>
            </w:pPr>
            <w:r w:rsidRPr="001D2492">
              <w:rPr>
                <w:rFonts w:cs="Arial"/>
                <w:spacing w:val="-2"/>
                <w:w w:val="110"/>
                <w:sz w:val="16"/>
                <w:szCs w:val="16"/>
              </w:rPr>
              <w:t>3.784</w:t>
            </w:r>
            <w:r w:rsidR="00520302" w:rsidRPr="003552B1">
              <w:rPr>
                <w:sz w:val="16"/>
                <w:szCs w:val="16"/>
              </w:rPr>
              <w:t>%</w:t>
            </w:r>
          </w:p>
        </w:tc>
        <w:tc>
          <w:tcPr>
            <w:tcW w:w="900" w:type="dxa"/>
          </w:tcPr>
          <w:p w14:paraId="18E4D61E" w14:textId="6FD8ADE5" w:rsidR="00520302" w:rsidRPr="00A0431F" w:rsidRDefault="00520302" w:rsidP="00520302">
            <w:pPr>
              <w:spacing w:before="40" w:after="40"/>
              <w:jc w:val="center"/>
              <w:rPr>
                <w:rFonts w:ascii="Arial" w:hAnsi="Arial" w:cs="Arial"/>
                <w:kern w:val="28"/>
                <w:sz w:val="16"/>
                <w:szCs w:val="16"/>
              </w:rPr>
            </w:pPr>
            <w:r>
              <w:rPr>
                <w:rFonts w:asciiTheme="majorHAnsi" w:hAnsiTheme="majorHAnsi" w:cstheme="majorHAnsi"/>
                <w:w w:val="105"/>
                <w:sz w:val="16"/>
                <w:szCs w:val="16"/>
              </w:rPr>
              <w:t>110</w:t>
            </w:r>
          </w:p>
        </w:tc>
        <w:tc>
          <w:tcPr>
            <w:tcW w:w="1260" w:type="dxa"/>
          </w:tcPr>
          <w:p w14:paraId="1DF70788" w14:textId="6417B904" w:rsidR="00520302" w:rsidRPr="003552B1" w:rsidRDefault="00520302" w:rsidP="00520302">
            <w:pPr>
              <w:spacing w:before="40" w:after="40"/>
              <w:ind w:left="32"/>
              <w:jc w:val="center"/>
              <w:rPr>
                <w:rFonts w:ascii="Arial" w:hAnsi="Arial" w:cs="Arial"/>
                <w:kern w:val="28"/>
                <w:sz w:val="16"/>
                <w:szCs w:val="16"/>
              </w:rPr>
            </w:pPr>
            <w:r w:rsidRPr="003552B1">
              <w:rPr>
                <w:rFonts w:asciiTheme="majorHAnsi" w:hAnsiTheme="majorHAnsi" w:cstheme="majorHAnsi"/>
                <w:kern w:val="28"/>
                <w:sz w:val="16"/>
                <w:szCs w:val="16"/>
              </w:rPr>
              <w:t>C</w:t>
            </w:r>
            <w:r w:rsidR="002655A3" w:rsidRPr="001D2492">
              <w:rPr>
                <w:rFonts w:asciiTheme="majorHAnsi" w:hAnsiTheme="majorHAnsi" w:cstheme="majorHAnsi"/>
                <w:w w:val="105"/>
                <w:sz w:val="16"/>
                <w:szCs w:val="16"/>
              </w:rPr>
              <w:t>9</w:t>
            </w:r>
            <w:r w:rsidR="002F165B">
              <w:rPr>
                <w:rFonts w:asciiTheme="majorHAnsi" w:hAnsiTheme="majorHAnsi" w:cstheme="majorHAnsi"/>
                <w:w w:val="105"/>
                <w:sz w:val="16"/>
                <w:szCs w:val="16"/>
              </w:rPr>
              <w:t>3</w:t>
            </w:r>
            <w:r w:rsidR="002655A3" w:rsidRPr="001D2492">
              <w:rPr>
                <w:rFonts w:asciiTheme="majorHAnsi" w:hAnsiTheme="majorHAnsi" w:cstheme="majorHAnsi"/>
                <w:w w:val="105"/>
                <w:sz w:val="16"/>
                <w:szCs w:val="16"/>
              </w:rPr>
              <w:t>3.24</w:t>
            </w:r>
          </w:p>
        </w:tc>
        <w:tc>
          <w:tcPr>
            <w:tcW w:w="1350" w:type="dxa"/>
          </w:tcPr>
          <w:p w14:paraId="28E89C96" w14:textId="7C9539C9" w:rsidR="00520302" w:rsidRPr="00A0431F" w:rsidRDefault="00520302" w:rsidP="00520302">
            <w:pPr>
              <w:spacing w:before="40" w:after="40"/>
              <w:ind w:left="2"/>
              <w:jc w:val="center"/>
              <w:rPr>
                <w:rFonts w:ascii="Arial" w:hAnsi="Arial" w:cs="Arial"/>
                <w:kern w:val="28"/>
                <w:sz w:val="16"/>
                <w:szCs w:val="16"/>
              </w:rPr>
            </w:pPr>
            <w:r>
              <w:rPr>
                <w:rFonts w:asciiTheme="majorHAnsi" w:hAnsiTheme="majorHAnsi" w:cstheme="majorHAnsi"/>
                <w:kern w:val="28"/>
                <w:sz w:val="16"/>
                <w:szCs w:val="16"/>
              </w:rPr>
              <w:t>C$</w:t>
            </w:r>
            <w:r w:rsidR="00EC458B" w:rsidRPr="002655A3">
              <w:rPr>
                <w:rFonts w:asciiTheme="majorHAnsi" w:hAnsiTheme="majorHAnsi" w:cstheme="majorHAnsi"/>
                <w:sz w:val="16"/>
                <w:szCs w:val="16"/>
              </w:rPr>
              <w:t>301,113,000</w:t>
            </w:r>
          </w:p>
        </w:tc>
      </w:tr>
      <w:tr w:rsidR="00520302" w:rsidRPr="00A0431F" w14:paraId="386EFD17" w14:textId="77777777" w:rsidTr="00B9451D">
        <w:tc>
          <w:tcPr>
            <w:tcW w:w="1190" w:type="dxa"/>
          </w:tcPr>
          <w:p w14:paraId="01FD45EE" w14:textId="7E34CC08" w:rsidR="00520302" w:rsidRPr="00A0431F" w:rsidRDefault="00520302" w:rsidP="00520302">
            <w:pPr>
              <w:spacing w:before="40" w:after="40"/>
              <w:ind w:left="91"/>
              <w:jc w:val="center"/>
              <w:rPr>
                <w:rFonts w:cs="Arial"/>
                <w:w w:val="105"/>
                <w:sz w:val="16"/>
                <w:szCs w:val="16"/>
              </w:rPr>
            </w:pPr>
            <w:r>
              <w:rPr>
                <w:rFonts w:asciiTheme="majorHAnsi" w:hAnsiTheme="majorHAnsi" w:cstheme="majorHAnsi"/>
                <w:w w:val="105"/>
                <w:sz w:val="16"/>
                <w:szCs w:val="16"/>
              </w:rPr>
              <w:t>4.45% MTN Debentures Series M-45 due 2047</w:t>
            </w:r>
          </w:p>
        </w:tc>
        <w:tc>
          <w:tcPr>
            <w:tcW w:w="1420" w:type="dxa"/>
          </w:tcPr>
          <w:p w14:paraId="6C707D9F" w14:textId="7F481F99" w:rsidR="00520302" w:rsidRPr="00A0431F" w:rsidRDefault="00520302" w:rsidP="00520302">
            <w:pPr>
              <w:spacing w:before="40" w:after="40"/>
              <w:ind w:left="5"/>
              <w:jc w:val="center"/>
              <w:rPr>
                <w:rFonts w:cs="Arial"/>
                <w:spacing w:val="-2"/>
                <w:w w:val="110"/>
                <w:sz w:val="16"/>
                <w:szCs w:val="16"/>
              </w:rPr>
            </w:pPr>
            <w:r>
              <w:rPr>
                <w:rFonts w:asciiTheme="majorHAnsi" w:hAnsiTheme="majorHAnsi" w:cstheme="majorHAnsi"/>
                <w:w w:val="105"/>
                <w:sz w:val="16"/>
                <w:szCs w:val="16"/>
              </w:rPr>
              <w:t>C$400,000,000</w:t>
            </w:r>
          </w:p>
        </w:tc>
        <w:tc>
          <w:tcPr>
            <w:tcW w:w="1710" w:type="dxa"/>
          </w:tcPr>
          <w:p w14:paraId="7E5D1B48" w14:textId="77777777" w:rsidR="00520302" w:rsidRDefault="00520302" w:rsidP="00520302">
            <w:pPr>
              <w:pStyle w:val="Tabletext1"/>
              <w:spacing w:before="40" w:after="40"/>
              <w:ind w:left="130" w:right="170" w:firstLine="111"/>
              <w:jc w:val="center"/>
              <w:rPr>
                <w:rFonts w:asciiTheme="majorHAnsi" w:eastAsia="Calibri" w:hAnsiTheme="majorHAnsi" w:cstheme="majorHAnsi"/>
                <w:w w:val="105"/>
                <w:kern w:val="0"/>
                <w:sz w:val="16"/>
                <w:szCs w:val="16"/>
              </w:rPr>
            </w:pPr>
            <w:r>
              <w:rPr>
                <w:rFonts w:asciiTheme="majorHAnsi" w:eastAsia="Calibri" w:hAnsiTheme="majorHAnsi" w:cstheme="majorHAnsi"/>
                <w:w w:val="105"/>
                <w:kern w:val="0"/>
                <w:sz w:val="16"/>
                <w:szCs w:val="16"/>
              </w:rPr>
              <w:t>07813ZBX1 /</w:t>
            </w:r>
          </w:p>
          <w:p w14:paraId="32902584" w14:textId="65F07E4C" w:rsidR="00520302" w:rsidRPr="00A0431F" w:rsidRDefault="00520302" w:rsidP="00520302">
            <w:pPr>
              <w:pStyle w:val="TableParagraph"/>
              <w:spacing w:before="40" w:after="40"/>
              <w:ind w:left="130" w:right="170" w:firstLine="111"/>
              <w:jc w:val="center"/>
              <w:rPr>
                <w:rFonts w:ascii="Arial" w:hAnsi="Arial" w:cs="Arial"/>
                <w:w w:val="105"/>
                <w:sz w:val="16"/>
                <w:szCs w:val="16"/>
              </w:rPr>
            </w:pPr>
            <w:r>
              <w:rPr>
                <w:rFonts w:asciiTheme="majorHAnsi" w:hAnsiTheme="majorHAnsi" w:cstheme="majorHAnsi"/>
                <w:w w:val="105"/>
                <w:sz w:val="16"/>
                <w:szCs w:val="16"/>
              </w:rPr>
              <w:t>CA07813ZBX11</w:t>
            </w:r>
          </w:p>
        </w:tc>
        <w:tc>
          <w:tcPr>
            <w:tcW w:w="810" w:type="dxa"/>
          </w:tcPr>
          <w:p w14:paraId="5EFC00F5" w14:textId="47062224" w:rsidR="00520302" w:rsidRPr="00A0431F" w:rsidRDefault="00520302" w:rsidP="00520302">
            <w:pPr>
              <w:spacing w:before="40" w:after="40"/>
              <w:jc w:val="center"/>
              <w:rPr>
                <w:rFonts w:cstheme="minorHAnsi"/>
                <w:kern w:val="28"/>
                <w:sz w:val="16"/>
                <w:szCs w:val="16"/>
              </w:rPr>
            </w:pPr>
            <w:r>
              <w:rPr>
                <w:rFonts w:asciiTheme="majorHAnsi" w:hAnsiTheme="majorHAnsi" w:cstheme="majorHAnsi"/>
                <w:sz w:val="16"/>
                <w:szCs w:val="16"/>
              </w:rPr>
              <w:t>CAN 3 ½ 12/01/57</w:t>
            </w:r>
          </w:p>
        </w:tc>
        <w:tc>
          <w:tcPr>
            <w:tcW w:w="1080" w:type="dxa"/>
          </w:tcPr>
          <w:p w14:paraId="04BDA634" w14:textId="3D751431" w:rsidR="00520302" w:rsidRPr="00A0431F" w:rsidRDefault="00520302" w:rsidP="00520302">
            <w:pPr>
              <w:spacing w:before="40" w:after="40"/>
              <w:ind w:left="7"/>
              <w:jc w:val="center"/>
              <w:rPr>
                <w:sz w:val="16"/>
                <w:szCs w:val="16"/>
              </w:rPr>
            </w:pPr>
            <w:r>
              <w:rPr>
                <w:rFonts w:asciiTheme="majorHAnsi" w:hAnsiTheme="majorHAnsi" w:cstheme="majorHAnsi"/>
                <w:w w:val="105"/>
                <w:sz w:val="16"/>
                <w:szCs w:val="16"/>
              </w:rPr>
              <w:t>FIT CAN0-50</w:t>
            </w:r>
          </w:p>
        </w:tc>
        <w:tc>
          <w:tcPr>
            <w:tcW w:w="1170" w:type="dxa"/>
          </w:tcPr>
          <w:p w14:paraId="7A9DBB48" w14:textId="1DE338AF" w:rsidR="00520302" w:rsidRPr="003552B1" w:rsidRDefault="002655A3" w:rsidP="00520302">
            <w:pPr>
              <w:spacing w:before="40" w:after="40"/>
              <w:jc w:val="center"/>
              <w:rPr>
                <w:sz w:val="16"/>
                <w:szCs w:val="16"/>
              </w:rPr>
            </w:pPr>
            <w:r w:rsidRPr="001D2492">
              <w:rPr>
                <w:rFonts w:cs="Arial"/>
                <w:spacing w:val="-2"/>
                <w:w w:val="110"/>
                <w:sz w:val="16"/>
                <w:szCs w:val="16"/>
              </w:rPr>
              <w:t>3.784</w:t>
            </w:r>
            <w:r w:rsidR="00520302" w:rsidRPr="003552B1">
              <w:rPr>
                <w:sz w:val="16"/>
                <w:szCs w:val="16"/>
              </w:rPr>
              <w:t>%</w:t>
            </w:r>
          </w:p>
        </w:tc>
        <w:tc>
          <w:tcPr>
            <w:tcW w:w="900" w:type="dxa"/>
          </w:tcPr>
          <w:p w14:paraId="1026A14F" w14:textId="407F2892" w:rsidR="00520302" w:rsidRPr="00A0431F" w:rsidRDefault="00520302" w:rsidP="00520302">
            <w:pPr>
              <w:spacing w:before="40" w:after="40"/>
              <w:jc w:val="center"/>
              <w:rPr>
                <w:sz w:val="16"/>
                <w:szCs w:val="16"/>
              </w:rPr>
            </w:pPr>
            <w:r>
              <w:rPr>
                <w:rFonts w:asciiTheme="majorHAnsi" w:hAnsiTheme="majorHAnsi" w:cstheme="majorHAnsi"/>
                <w:w w:val="105"/>
                <w:sz w:val="16"/>
                <w:szCs w:val="16"/>
              </w:rPr>
              <w:t>110</w:t>
            </w:r>
          </w:p>
        </w:tc>
        <w:tc>
          <w:tcPr>
            <w:tcW w:w="1260" w:type="dxa"/>
          </w:tcPr>
          <w:p w14:paraId="350719C2" w14:textId="27D01871" w:rsidR="00520302" w:rsidRPr="003552B1" w:rsidRDefault="00520302" w:rsidP="00520302">
            <w:pPr>
              <w:spacing w:before="40" w:after="40"/>
              <w:ind w:left="32"/>
              <w:jc w:val="center"/>
              <w:rPr>
                <w:sz w:val="16"/>
                <w:szCs w:val="16"/>
              </w:rPr>
            </w:pPr>
            <w:r w:rsidRPr="003552B1">
              <w:rPr>
                <w:rFonts w:asciiTheme="majorHAnsi" w:hAnsiTheme="majorHAnsi" w:cstheme="majorHAnsi"/>
                <w:kern w:val="28"/>
                <w:sz w:val="16"/>
                <w:szCs w:val="16"/>
              </w:rPr>
              <w:t>C$</w:t>
            </w:r>
            <w:r w:rsidR="002655A3" w:rsidRPr="001D2492">
              <w:rPr>
                <w:rFonts w:asciiTheme="majorHAnsi" w:hAnsiTheme="majorHAnsi" w:cstheme="majorHAnsi"/>
                <w:w w:val="105"/>
                <w:sz w:val="16"/>
                <w:szCs w:val="16"/>
              </w:rPr>
              <w:t>943.75</w:t>
            </w:r>
          </w:p>
        </w:tc>
        <w:tc>
          <w:tcPr>
            <w:tcW w:w="1350" w:type="dxa"/>
          </w:tcPr>
          <w:p w14:paraId="6C73FAF2" w14:textId="7DF84F81" w:rsidR="00520302" w:rsidRPr="00A0431F" w:rsidRDefault="00520302" w:rsidP="00520302">
            <w:pPr>
              <w:spacing w:before="40" w:after="40"/>
              <w:ind w:left="2"/>
              <w:jc w:val="center"/>
              <w:rPr>
                <w:rFonts w:cs="Arial"/>
                <w:b/>
                <w:bCs/>
                <w:spacing w:val="-2"/>
                <w:w w:val="110"/>
                <w:sz w:val="16"/>
                <w:szCs w:val="16"/>
                <w:vertAlign w:val="superscript"/>
              </w:rPr>
            </w:pPr>
            <w:r>
              <w:rPr>
                <w:rFonts w:asciiTheme="majorHAnsi" w:hAnsiTheme="majorHAnsi" w:cstheme="majorHAnsi"/>
                <w:kern w:val="28"/>
                <w:sz w:val="16"/>
                <w:szCs w:val="16"/>
              </w:rPr>
              <w:t>C$</w:t>
            </w:r>
            <w:r w:rsidR="00466DEB" w:rsidRPr="00466DEB">
              <w:rPr>
                <w:rFonts w:asciiTheme="majorHAnsi" w:hAnsiTheme="majorHAnsi" w:cstheme="majorHAnsi"/>
                <w:kern w:val="28"/>
                <w:sz w:val="16"/>
                <w:szCs w:val="16"/>
              </w:rPr>
              <w:t>366,626,000</w:t>
            </w:r>
          </w:p>
        </w:tc>
      </w:tr>
      <w:tr w:rsidR="00520302" w:rsidRPr="00A0431F" w14:paraId="7AB3D33B" w14:textId="77777777" w:rsidTr="00B9451D">
        <w:tc>
          <w:tcPr>
            <w:tcW w:w="1190" w:type="dxa"/>
          </w:tcPr>
          <w:p w14:paraId="5539A18D" w14:textId="7215DF7C" w:rsidR="00520302" w:rsidRPr="00A0431F" w:rsidRDefault="00520302" w:rsidP="00520302">
            <w:pPr>
              <w:spacing w:before="40" w:after="40"/>
              <w:ind w:left="91"/>
              <w:jc w:val="center"/>
              <w:rPr>
                <w:rFonts w:cs="Arial"/>
                <w:b/>
                <w:bCs/>
                <w:spacing w:val="-2"/>
                <w:w w:val="110"/>
                <w:sz w:val="16"/>
                <w:szCs w:val="16"/>
              </w:rPr>
            </w:pPr>
            <w:r>
              <w:rPr>
                <w:rFonts w:asciiTheme="majorHAnsi" w:hAnsiTheme="majorHAnsi" w:cstheme="majorHAnsi"/>
                <w:w w:val="105"/>
                <w:sz w:val="16"/>
                <w:szCs w:val="16"/>
              </w:rPr>
              <w:t xml:space="preserve">5.15% MTN Debentures Series M-60 </w:t>
            </w:r>
            <w:r>
              <w:rPr>
                <w:rFonts w:asciiTheme="majorHAnsi" w:hAnsiTheme="majorHAnsi" w:cstheme="majorHAnsi"/>
                <w:w w:val="105"/>
                <w:sz w:val="16"/>
                <w:szCs w:val="16"/>
              </w:rPr>
              <w:lastRenderedPageBreak/>
              <w:t>due 2028</w:t>
            </w:r>
          </w:p>
        </w:tc>
        <w:tc>
          <w:tcPr>
            <w:tcW w:w="1420" w:type="dxa"/>
          </w:tcPr>
          <w:p w14:paraId="1EF79476" w14:textId="4C2B92DB" w:rsidR="00520302" w:rsidRPr="00A0431F" w:rsidRDefault="00520302" w:rsidP="00520302">
            <w:pPr>
              <w:spacing w:before="40" w:after="40"/>
              <w:ind w:left="5"/>
              <w:jc w:val="center"/>
              <w:rPr>
                <w:rFonts w:cs="Arial"/>
                <w:spacing w:val="-2"/>
                <w:w w:val="110"/>
                <w:sz w:val="16"/>
                <w:szCs w:val="16"/>
              </w:rPr>
            </w:pPr>
            <w:r>
              <w:rPr>
                <w:rFonts w:asciiTheme="majorHAnsi" w:hAnsiTheme="majorHAnsi" w:cstheme="majorHAnsi"/>
                <w:w w:val="105"/>
                <w:sz w:val="16"/>
                <w:szCs w:val="16"/>
              </w:rPr>
              <w:lastRenderedPageBreak/>
              <w:t>C$600,000,000</w:t>
            </w:r>
          </w:p>
        </w:tc>
        <w:tc>
          <w:tcPr>
            <w:tcW w:w="1710" w:type="dxa"/>
          </w:tcPr>
          <w:p w14:paraId="3EADAA4F" w14:textId="77777777" w:rsidR="00520302" w:rsidRDefault="00520302" w:rsidP="00520302">
            <w:pPr>
              <w:pStyle w:val="Tabletext1"/>
              <w:spacing w:before="40" w:after="40"/>
              <w:ind w:left="130" w:right="170" w:firstLine="111"/>
              <w:jc w:val="center"/>
              <w:rPr>
                <w:rFonts w:asciiTheme="majorHAnsi" w:eastAsia="Calibri" w:hAnsiTheme="majorHAnsi" w:cstheme="majorHAnsi"/>
                <w:w w:val="105"/>
                <w:kern w:val="0"/>
                <w:sz w:val="16"/>
                <w:szCs w:val="16"/>
              </w:rPr>
            </w:pPr>
            <w:r>
              <w:rPr>
                <w:rFonts w:asciiTheme="majorHAnsi" w:eastAsia="Calibri" w:hAnsiTheme="majorHAnsi" w:cstheme="majorHAnsi"/>
                <w:w w:val="105"/>
                <w:kern w:val="0"/>
                <w:sz w:val="16"/>
                <w:szCs w:val="16"/>
              </w:rPr>
              <w:t>07813ZCN2 /</w:t>
            </w:r>
          </w:p>
          <w:p w14:paraId="1B073E79" w14:textId="276B6EDE" w:rsidR="00520302" w:rsidRPr="00A0431F" w:rsidRDefault="00520302" w:rsidP="00520302">
            <w:pPr>
              <w:pStyle w:val="TableParagraph"/>
              <w:spacing w:before="40" w:after="40"/>
              <w:ind w:left="130" w:right="170" w:firstLine="111"/>
              <w:jc w:val="center"/>
              <w:rPr>
                <w:rFonts w:ascii="Arial" w:hAnsi="Arial" w:cs="Arial"/>
                <w:b/>
                <w:bCs/>
                <w:spacing w:val="-2"/>
                <w:w w:val="110"/>
                <w:sz w:val="16"/>
                <w:szCs w:val="16"/>
              </w:rPr>
            </w:pPr>
            <w:r>
              <w:rPr>
                <w:rFonts w:asciiTheme="majorHAnsi" w:hAnsiTheme="majorHAnsi" w:cstheme="majorHAnsi"/>
                <w:w w:val="105"/>
                <w:sz w:val="16"/>
                <w:szCs w:val="16"/>
              </w:rPr>
              <w:t>CA07813ZCN20</w:t>
            </w:r>
          </w:p>
        </w:tc>
        <w:tc>
          <w:tcPr>
            <w:tcW w:w="810" w:type="dxa"/>
          </w:tcPr>
          <w:p w14:paraId="7FF465FE" w14:textId="5F891024" w:rsidR="00520302" w:rsidRPr="00A0431F" w:rsidRDefault="00520302" w:rsidP="00520302">
            <w:pPr>
              <w:spacing w:before="40" w:after="40"/>
              <w:jc w:val="center"/>
              <w:rPr>
                <w:rFonts w:cs="Arial"/>
                <w:b/>
                <w:bCs/>
                <w:spacing w:val="-2"/>
                <w:w w:val="110"/>
                <w:sz w:val="16"/>
                <w:szCs w:val="16"/>
              </w:rPr>
            </w:pPr>
            <w:r>
              <w:rPr>
                <w:rFonts w:asciiTheme="majorHAnsi" w:hAnsiTheme="majorHAnsi" w:cstheme="majorHAnsi"/>
                <w:sz w:val="16"/>
                <w:szCs w:val="16"/>
              </w:rPr>
              <w:t>CAN 3 ¼ 09/01/28</w:t>
            </w:r>
          </w:p>
        </w:tc>
        <w:tc>
          <w:tcPr>
            <w:tcW w:w="1080" w:type="dxa"/>
          </w:tcPr>
          <w:p w14:paraId="5DF9D0C2" w14:textId="283D1896" w:rsidR="00520302" w:rsidRPr="00A0431F" w:rsidRDefault="00520302" w:rsidP="00520302">
            <w:pPr>
              <w:spacing w:before="40" w:after="40"/>
              <w:ind w:left="7"/>
              <w:jc w:val="center"/>
              <w:rPr>
                <w:rFonts w:cs="Arial"/>
                <w:b/>
                <w:bCs/>
                <w:spacing w:val="-2"/>
                <w:w w:val="110"/>
                <w:sz w:val="16"/>
                <w:szCs w:val="16"/>
              </w:rPr>
            </w:pPr>
            <w:r>
              <w:rPr>
                <w:rFonts w:asciiTheme="majorHAnsi" w:hAnsiTheme="majorHAnsi" w:cstheme="majorHAnsi"/>
                <w:w w:val="105"/>
                <w:sz w:val="16"/>
                <w:szCs w:val="16"/>
              </w:rPr>
              <w:t>FIT CAN0-50</w:t>
            </w:r>
          </w:p>
        </w:tc>
        <w:tc>
          <w:tcPr>
            <w:tcW w:w="1170" w:type="dxa"/>
          </w:tcPr>
          <w:p w14:paraId="53CA9CAF" w14:textId="476E9FC6" w:rsidR="00520302" w:rsidRPr="001D2492" w:rsidRDefault="002655A3" w:rsidP="00520302">
            <w:pPr>
              <w:spacing w:before="40" w:after="40"/>
              <w:jc w:val="center"/>
              <w:rPr>
                <w:rFonts w:cs="Arial"/>
                <w:spacing w:val="-2"/>
                <w:w w:val="110"/>
                <w:sz w:val="16"/>
                <w:szCs w:val="16"/>
              </w:rPr>
            </w:pPr>
            <w:r w:rsidRPr="001D2492">
              <w:rPr>
                <w:rFonts w:cs="Arial"/>
                <w:spacing w:val="-2"/>
                <w:w w:val="110"/>
                <w:sz w:val="16"/>
                <w:szCs w:val="16"/>
              </w:rPr>
              <w:t>2.828</w:t>
            </w:r>
            <w:r w:rsidR="00520302" w:rsidRPr="003552B1">
              <w:rPr>
                <w:sz w:val="16"/>
                <w:szCs w:val="16"/>
              </w:rPr>
              <w:t>%</w:t>
            </w:r>
          </w:p>
        </w:tc>
        <w:tc>
          <w:tcPr>
            <w:tcW w:w="900" w:type="dxa"/>
          </w:tcPr>
          <w:p w14:paraId="1EE9C93B" w14:textId="16F1A479" w:rsidR="00520302" w:rsidRPr="00A0431F" w:rsidRDefault="00520302" w:rsidP="00520302">
            <w:pPr>
              <w:spacing w:before="40" w:after="40"/>
              <w:jc w:val="center"/>
              <w:rPr>
                <w:rFonts w:cs="Arial"/>
                <w:b/>
                <w:bCs/>
                <w:spacing w:val="-2"/>
                <w:w w:val="110"/>
                <w:sz w:val="16"/>
                <w:szCs w:val="16"/>
              </w:rPr>
            </w:pPr>
            <w:r>
              <w:rPr>
                <w:rFonts w:asciiTheme="majorHAnsi" w:hAnsiTheme="majorHAnsi" w:cstheme="majorHAnsi"/>
                <w:w w:val="105"/>
                <w:sz w:val="16"/>
                <w:szCs w:val="16"/>
              </w:rPr>
              <w:t>45</w:t>
            </w:r>
          </w:p>
        </w:tc>
        <w:tc>
          <w:tcPr>
            <w:tcW w:w="1260" w:type="dxa"/>
          </w:tcPr>
          <w:p w14:paraId="09D9A63E" w14:textId="1C10CDFD" w:rsidR="00520302" w:rsidRPr="003552B1" w:rsidRDefault="00520302" w:rsidP="00520302">
            <w:pPr>
              <w:spacing w:before="40" w:after="40"/>
              <w:ind w:left="32"/>
              <w:jc w:val="center"/>
              <w:rPr>
                <w:sz w:val="16"/>
                <w:szCs w:val="16"/>
              </w:rPr>
            </w:pPr>
            <w:r w:rsidRPr="003552B1">
              <w:rPr>
                <w:rFonts w:asciiTheme="majorHAnsi" w:hAnsiTheme="majorHAnsi" w:cstheme="majorHAnsi"/>
                <w:kern w:val="28"/>
                <w:sz w:val="16"/>
                <w:szCs w:val="16"/>
              </w:rPr>
              <w:t>C$</w:t>
            </w:r>
            <w:r w:rsidR="002655A3" w:rsidRPr="001D2492">
              <w:rPr>
                <w:rFonts w:asciiTheme="majorHAnsi" w:hAnsiTheme="majorHAnsi" w:cstheme="majorHAnsi"/>
                <w:w w:val="105"/>
                <w:sz w:val="16"/>
                <w:szCs w:val="16"/>
              </w:rPr>
              <w:t>1,042.12</w:t>
            </w:r>
          </w:p>
        </w:tc>
        <w:tc>
          <w:tcPr>
            <w:tcW w:w="1350" w:type="dxa"/>
          </w:tcPr>
          <w:p w14:paraId="7DCB48C6" w14:textId="2F6BCA7E" w:rsidR="00520302" w:rsidRPr="00A0431F" w:rsidRDefault="00520302" w:rsidP="00520302">
            <w:pPr>
              <w:spacing w:before="40" w:after="40"/>
              <w:ind w:left="2"/>
              <w:jc w:val="center"/>
              <w:rPr>
                <w:rFonts w:cs="Arial"/>
                <w:spacing w:val="-2"/>
                <w:w w:val="110"/>
                <w:sz w:val="16"/>
                <w:szCs w:val="16"/>
              </w:rPr>
            </w:pPr>
            <w:r>
              <w:rPr>
                <w:rFonts w:asciiTheme="majorHAnsi" w:hAnsiTheme="majorHAnsi" w:cstheme="majorHAnsi"/>
                <w:kern w:val="28"/>
                <w:sz w:val="16"/>
                <w:szCs w:val="16"/>
              </w:rPr>
              <w:t>C$</w:t>
            </w:r>
            <w:r w:rsidR="00466DEB" w:rsidRPr="00466DEB">
              <w:rPr>
                <w:rFonts w:asciiTheme="majorHAnsi" w:hAnsiTheme="majorHAnsi" w:cstheme="majorHAnsi"/>
                <w:w w:val="105"/>
                <w:sz w:val="16"/>
                <w:szCs w:val="16"/>
              </w:rPr>
              <w:t>380,000,000</w:t>
            </w:r>
          </w:p>
        </w:tc>
      </w:tr>
      <w:tr w:rsidR="00520302" w:rsidRPr="00A0431F" w14:paraId="553893A9" w14:textId="77777777" w:rsidTr="00B9451D">
        <w:tc>
          <w:tcPr>
            <w:tcW w:w="1190" w:type="dxa"/>
          </w:tcPr>
          <w:p w14:paraId="4189C21C" w14:textId="69F30EC3" w:rsidR="00520302" w:rsidRPr="00A0431F" w:rsidRDefault="00520302" w:rsidP="00520302">
            <w:pPr>
              <w:spacing w:before="40" w:after="40"/>
              <w:ind w:left="91"/>
              <w:jc w:val="center"/>
              <w:rPr>
                <w:rFonts w:cs="Arial"/>
                <w:b/>
                <w:bCs/>
                <w:spacing w:val="-2"/>
                <w:w w:val="110"/>
                <w:sz w:val="16"/>
                <w:szCs w:val="16"/>
              </w:rPr>
            </w:pPr>
            <w:r>
              <w:rPr>
                <w:rFonts w:asciiTheme="majorHAnsi" w:hAnsiTheme="majorHAnsi" w:cstheme="majorHAnsi"/>
                <w:w w:val="105"/>
                <w:sz w:val="16"/>
                <w:szCs w:val="16"/>
              </w:rPr>
              <w:t>6.55% MTN Debentures Series M-3 due 2029</w:t>
            </w:r>
          </w:p>
        </w:tc>
        <w:tc>
          <w:tcPr>
            <w:tcW w:w="1420" w:type="dxa"/>
          </w:tcPr>
          <w:p w14:paraId="5CE872FA" w14:textId="2C8A3A23" w:rsidR="00520302" w:rsidRPr="00A0431F" w:rsidRDefault="00520302" w:rsidP="00520302">
            <w:pPr>
              <w:spacing w:before="40" w:after="40"/>
              <w:ind w:left="5"/>
              <w:jc w:val="center"/>
              <w:rPr>
                <w:rFonts w:cs="Arial"/>
                <w:spacing w:val="-2"/>
                <w:w w:val="110"/>
                <w:sz w:val="16"/>
                <w:szCs w:val="16"/>
              </w:rPr>
            </w:pPr>
            <w:r>
              <w:rPr>
                <w:rFonts w:asciiTheme="majorHAnsi" w:hAnsiTheme="majorHAnsi" w:cstheme="majorHAnsi"/>
                <w:w w:val="105"/>
                <w:sz w:val="16"/>
                <w:szCs w:val="16"/>
              </w:rPr>
              <w:t>C$200,053,000</w:t>
            </w:r>
          </w:p>
        </w:tc>
        <w:tc>
          <w:tcPr>
            <w:tcW w:w="1710" w:type="dxa"/>
          </w:tcPr>
          <w:p w14:paraId="4DE52EC0" w14:textId="77777777" w:rsidR="00520302" w:rsidRDefault="00520302" w:rsidP="00520302">
            <w:pPr>
              <w:pStyle w:val="Tabletext1"/>
              <w:spacing w:after="120"/>
              <w:ind w:left="130" w:right="170" w:firstLine="111"/>
              <w:jc w:val="center"/>
              <w:rPr>
                <w:rFonts w:asciiTheme="majorHAnsi" w:eastAsia="Calibri" w:hAnsiTheme="majorHAnsi" w:cstheme="majorHAnsi"/>
                <w:w w:val="105"/>
                <w:kern w:val="0"/>
                <w:sz w:val="16"/>
                <w:szCs w:val="16"/>
              </w:rPr>
            </w:pPr>
            <w:r>
              <w:rPr>
                <w:rFonts w:asciiTheme="majorHAnsi" w:eastAsia="Calibri" w:hAnsiTheme="majorHAnsi" w:cstheme="majorHAnsi"/>
                <w:w w:val="105"/>
                <w:kern w:val="0"/>
                <w:sz w:val="16"/>
                <w:szCs w:val="16"/>
              </w:rPr>
              <w:t>07813ZAC8 /</w:t>
            </w:r>
          </w:p>
          <w:p w14:paraId="5C8FD39C" w14:textId="6C3F5403" w:rsidR="00520302" w:rsidRPr="00A0431F" w:rsidRDefault="00520302" w:rsidP="00520302">
            <w:pPr>
              <w:pStyle w:val="TableParagraph"/>
              <w:spacing w:before="40" w:after="40"/>
              <w:ind w:left="130" w:right="170" w:firstLine="111"/>
              <w:jc w:val="center"/>
              <w:rPr>
                <w:rFonts w:ascii="Arial" w:hAnsi="Arial" w:cs="Arial"/>
                <w:b/>
                <w:bCs/>
                <w:spacing w:val="-2"/>
                <w:w w:val="110"/>
                <w:sz w:val="16"/>
                <w:szCs w:val="16"/>
              </w:rPr>
            </w:pPr>
            <w:r>
              <w:rPr>
                <w:rFonts w:asciiTheme="majorHAnsi" w:hAnsiTheme="majorHAnsi" w:cstheme="majorHAnsi"/>
                <w:w w:val="105"/>
                <w:sz w:val="16"/>
                <w:szCs w:val="16"/>
              </w:rPr>
              <w:t>CA07813ZAC82</w:t>
            </w:r>
          </w:p>
        </w:tc>
        <w:tc>
          <w:tcPr>
            <w:tcW w:w="810" w:type="dxa"/>
          </w:tcPr>
          <w:p w14:paraId="14B5EC01" w14:textId="5486F63E" w:rsidR="00520302" w:rsidRPr="00A0431F" w:rsidRDefault="00520302" w:rsidP="00520302">
            <w:pPr>
              <w:spacing w:before="40" w:after="40"/>
              <w:jc w:val="center"/>
              <w:rPr>
                <w:rFonts w:cs="Arial"/>
                <w:b/>
                <w:bCs/>
                <w:spacing w:val="-2"/>
                <w:w w:val="110"/>
                <w:sz w:val="16"/>
                <w:szCs w:val="16"/>
              </w:rPr>
            </w:pPr>
            <w:r>
              <w:rPr>
                <w:rFonts w:asciiTheme="majorHAnsi" w:hAnsiTheme="majorHAnsi" w:cstheme="majorHAnsi"/>
                <w:sz w:val="16"/>
                <w:szCs w:val="16"/>
              </w:rPr>
              <w:t>CAN 3 ½ 09/01/29</w:t>
            </w:r>
          </w:p>
        </w:tc>
        <w:tc>
          <w:tcPr>
            <w:tcW w:w="1080" w:type="dxa"/>
          </w:tcPr>
          <w:p w14:paraId="222B9E29" w14:textId="58A18BCD" w:rsidR="00520302" w:rsidRPr="00A0431F" w:rsidRDefault="00520302" w:rsidP="00520302">
            <w:pPr>
              <w:spacing w:before="40" w:after="40"/>
              <w:ind w:left="7"/>
              <w:jc w:val="center"/>
              <w:rPr>
                <w:rFonts w:cs="Arial"/>
                <w:b/>
                <w:bCs/>
                <w:spacing w:val="-2"/>
                <w:w w:val="110"/>
                <w:sz w:val="16"/>
                <w:szCs w:val="16"/>
              </w:rPr>
            </w:pPr>
            <w:r>
              <w:rPr>
                <w:rFonts w:asciiTheme="majorHAnsi" w:hAnsiTheme="majorHAnsi" w:cstheme="majorHAnsi"/>
                <w:w w:val="105"/>
                <w:sz w:val="16"/>
                <w:szCs w:val="16"/>
              </w:rPr>
              <w:t>FIT CAN0-50</w:t>
            </w:r>
          </w:p>
        </w:tc>
        <w:tc>
          <w:tcPr>
            <w:tcW w:w="1170" w:type="dxa"/>
          </w:tcPr>
          <w:p w14:paraId="7E5F3C6B" w14:textId="7FB4F531" w:rsidR="00520302" w:rsidRPr="001D2492" w:rsidRDefault="002655A3" w:rsidP="00520302">
            <w:pPr>
              <w:spacing w:before="40" w:after="40"/>
              <w:jc w:val="center"/>
              <w:rPr>
                <w:rFonts w:cs="Arial"/>
                <w:spacing w:val="-2"/>
                <w:w w:val="110"/>
                <w:sz w:val="16"/>
                <w:szCs w:val="16"/>
              </w:rPr>
            </w:pPr>
            <w:r w:rsidRPr="001D2492">
              <w:rPr>
                <w:rFonts w:cs="Arial"/>
                <w:spacing w:val="-2"/>
                <w:w w:val="110"/>
                <w:sz w:val="16"/>
                <w:szCs w:val="16"/>
              </w:rPr>
              <w:t>2.931</w:t>
            </w:r>
            <w:r w:rsidR="00520302" w:rsidRPr="003552B1">
              <w:rPr>
                <w:sz w:val="16"/>
                <w:szCs w:val="16"/>
              </w:rPr>
              <w:t>%</w:t>
            </w:r>
          </w:p>
        </w:tc>
        <w:tc>
          <w:tcPr>
            <w:tcW w:w="900" w:type="dxa"/>
          </w:tcPr>
          <w:p w14:paraId="269DD78C" w14:textId="4DC843FD" w:rsidR="00520302" w:rsidRPr="00A0431F" w:rsidRDefault="00520302" w:rsidP="00520302">
            <w:pPr>
              <w:spacing w:before="40" w:after="40"/>
              <w:jc w:val="center"/>
              <w:rPr>
                <w:rFonts w:cs="Arial"/>
                <w:b/>
                <w:bCs/>
                <w:spacing w:val="-2"/>
                <w:w w:val="110"/>
                <w:sz w:val="16"/>
                <w:szCs w:val="16"/>
              </w:rPr>
            </w:pPr>
            <w:r>
              <w:rPr>
                <w:rFonts w:asciiTheme="majorHAnsi" w:hAnsiTheme="majorHAnsi" w:cstheme="majorHAnsi"/>
                <w:w w:val="105"/>
                <w:sz w:val="16"/>
                <w:szCs w:val="16"/>
              </w:rPr>
              <w:t>60</w:t>
            </w:r>
          </w:p>
        </w:tc>
        <w:tc>
          <w:tcPr>
            <w:tcW w:w="1260" w:type="dxa"/>
          </w:tcPr>
          <w:p w14:paraId="1062E74F" w14:textId="65524A5F" w:rsidR="00520302" w:rsidRPr="003552B1" w:rsidRDefault="00520302" w:rsidP="00520302">
            <w:pPr>
              <w:spacing w:before="40" w:after="40"/>
              <w:ind w:left="32"/>
              <w:jc w:val="center"/>
              <w:rPr>
                <w:sz w:val="16"/>
                <w:szCs w:val="16"/>
              </w:rPr>
            </w:pPr>
            <w:r w:rsidRPr="003552B1">
              <w:rPr>
                <w:rFonts w:asciiTheme="majorHAnsi" w:hAnsiTheme="majorHAnsi" w:cstheme="majorHAnsi"/>
                <w:kern w:val="28"/>
                <w:sz w:val="16"/>
                <w:szCs w:val="16"/>
              </w:rPr>
              <w:t>C$</w:t>
            </w:r>
            <w:r w:rsidR="002655A3" w:rsidRPr="001D2492">
              <w:rPr>
                <w:rFonts w:asciiTheme="majorHAnsi" w:hAnsiTheme="majorHAnsi" w:cstheme="majorHAnsi"/>
                <w:w w:val="105"/>
                <w:sz w:val="16"/>
                <w:szCs w:val="16"/>
              </w:rPr>
              <w:t>1,082.62</w:t>
            </w:r>
          </w:p>
        </w:tc>
        <w:tc>
          <w:tcPr>
            <w:tcW w:w="1350" w:type="dxa"/>
          </w:tcPr>
          <w:p w14:paraId="3D50862F" w14:textId="74E5D221" w:rsidR="00520302" w:rsidRPr="00A0431F" w:rsidRDefault="00520302" w:rsidP="00520302">
            <w:pPr>
              <w:spacing w:before="40" w:after="40"/>
              <w:ind w:left="2"/>
              <w:jc w:val="center"/>
              <w:rPr>
                <w:rFonts w:cs="Arial"/>
                <w:spacing w:val="-2"/>
                <w:w w:val="110"/>
                <w:sz w:val="16"/>
                <w:szCs w:val="16"/>
              </w:rPr>
            </w:pPr>
            <w:r>
              <w:rPr>
                <w:rFonts w:asciiTheme="majorHAnsi" w:hAnsiTheme="majorHAnsi" w:cstheme="majorHAnsi"/>
                <w:kern w:val="28"/>
                <w:sz w:val="16"/>
                <w:szCs w:val="16"/>
              </w:rPr>
              <w:t>C$</w:t>
            </w:r>
            <w:r w:rsidR="00FF3DDD" w:rsidRPr="00FF3DDD">
              <w:rPr>
                <w:rFonts w:asciiTheme="majorHAnsi" w:hAnsiTheme="majorHAnsi" w:cstheme="majorHAnsi"/>
                <w:kern w:val="28"/>
                <w:sz w:val="16"/>
                <w:szCs w:val="16"/>
              </w:rPr>
              <w:t>60,000,000</w:t>
            </w:r>
          </w:p>
        </w:tc>
      </w:tr>
      <w:tr w:rsidR="00520302" w:rsidRPr="00A0431F" w14:paraId="1AFA0ED8" w14:textId="77777777" w:rsidTr="00B9451D">
        <w:tc>
          <w:tcPr>
            <w:tcW w:w="1190" w:type="dxa"/>
          </w:tcPr>
          <w:p w14:paraId="5BD3573C" w14:textId="7BA1AE58" w:rsidR="00520302" w:rsidRPr="00A0431F" w:rsidRDefault="00520302" w:rsidP="00520302">
            <w:pPr>
              <w:spacing w:before="40" w:after="40"/>
              <w:ind w:left="91"/>
              <w:jc w:val="center"/>
              <w:rPr>
                <w:rFonts w:cs="Arial"/>
                <w:b/>
                <w:bCs/>
                <w:spacing w:val="-2"/>
                <w:w w:val="110"/>
                <w:sz w:val="16"/>
                <w:szCs w:val="16"/>
              </w:rPr>
            </w:pPr>
            <w:r>
              <w:rPr>
                <w:rFonts w:asciiTheme="majorHAnsi" w:hAnsiTheme="majorHAnsi" w:cstheme="majorHAnsi"/>
                <w:w w:val="105"/>
                <w:sz w:val="16"/>
                <w:szCs w:val="16"/>
              </w:rPr>
              <w:t>2.50% MTN Debentures Series M-52 due 2030</w:t>
            </w:r>
          </w:p>
        </w:tc>
        <w:tc>
          <w:tcPr>
            <w:tcW w:w="1420" w:type="dxa"/>
          </w:tcPr>
          <w:p w14:paraId="55C683B8" w14:textId="04AA5398" w:rsidR="00520302" w:rsidRPr="00A0431F" w:rsidRDefault="00520302" w:rsidP="00520302">
            <w:pPr>
              <w:spacing w:before="40" w:after="40"/>
              <w:ind w:left="5"/>
              <w:jc w:val="center"/>
              <w:rPr>
                <w:rFonts w:cs="Arial"/>
                <w:spacing w:val="-2"/>
                <w:w w:val="110"/>
                <w:sz w:val="16"/>
                <w:szCs w:val="16"/>
              </w:rPr>
            </w:pPr>
            <w:r>
              <w:rPr>
                <w:rFonts w:asciiTheme="majorHAnsi" w:hAnsiTheme="majorHAnsi" w:cstheme="majorHAnsi"/>
                <w:w w:val="105"/>
                <w:sz w:val="16"/>
                <w:szCs w:val="16"/>
              </w:rPr>
              <w:t>C$1,000,000,000</w:t>
            </w:r>
          </w:p>
        </w:tc>
        <w:tc>
          <w:tcPr>
            <w:tcW w:w="1710" w:type="dxa"/>
          </w:tcPr>
          <w:p w14:paraId="155597CF" w14:textId="77777777" w:rsidR="00520302" w:rsidRDefault="00520302" w:rsidP="00520302">
            <w:pPr>
              <w:pStyle w:val="Tabletext1"/>
              <w:spacing w:after="120"/>
              <w:ind w:left="130" w:right="170" w:firstLine="111"/>
              <w:jc w:val="center"/>
              <w:rPr>
                <w:rFonts w:asciiTheme="majorHAnsi" w:eastAsia="Calibri" w:hAnsiTheme="majorHAnsi" w:cstheme="majorHAnsi"/>
                <w:w w:val="105"/>
                <w:kern w:val="0"/>
                <w:sz w:val="16"/>
                <w:szCs w:val="16"/>
              </w:rPr>
            </w:pPr>
            <w:r>
              <w:rPr>
                <w:rFonts w:asciiTheme="majorHAnsi" w:eastAsia="Calibri" w:hAnsiTheme="majorHAnsi" w:cstheme="majorHAnsi"/>
                <w:w w:val="105"/>
                <w:kern w:val="0"/>
                <w:sz w:val="16"/>
                <w:szCs w:val="16"/>
              </w:rPr>
              <w:t>07813ZCE2 /</w:t>
            </w:r>
          </w:p>
          <w:p w14:paraId="3BB80B67" w14:textId="0FAD8C69" w:rsidR="00520302" w:rsidRPr="00A0431F" w:rsidRDefault="00520302" w:rsidP="00520302">
            <w:pPr>
              <w:pStyle w:val="TableParagraph"/>
              <w:spacing w:before="40" w:after="40"/>
              <w:ind w:left="130" w:right="170" w:firstLine="111"/>
              <w:jc w:val="center"/>
              <w:rPr>
                <w:rFonts w:ascii="Arial" w:hAnsi="Arial" w:cs="Arial"/>
                <w:b/>
                <w:bCs/>
                <w:spacing w:val="-2"/>
                <w:w w:val="110"/>
                <w:sz w:val="16"/>
                <w:szCs w:val="16"/>
              </w:rPr>
            </w:pPr>
            <w:r>
              <w:rPr>
                <w:rFonts w:asciiTheme="majorHAnsi" w:hAnsiTheme="majorHAnsi" w:cstheme="majorHAnsi"/>
                <w:w w:val="105"/>
                <w:sz w:val="16"/>
                <w:szCs w:val="16"/>
              </w:rPr>
              <w:t>CA07813ZCE21</w:t>
            </w:r>
          </w:p>
        </w:tc>
        <w:tc>
          <w:tcPr>
            <w:tcW w:w="810" w:type="dxa"/>
          </w:tcPr>
          <w:p w14:paraId="1E9A34EE" w14:textId="0FF05211" w:rsidR="00520302" w:rsidRPr="00A0431F" w:rsidRDefault="00520302" w:rsidP="00520302">
            <w:pPr>
              <w:spacing w:before="40" w:after="40"/>
              <w:jc w:val="center"/>
              <w:rPr>
                <w:rFonts w:cs="Arial"/>
                <w:b/>
                <w:bCs/>
                <w:spacing w:val="-2"/>
                <w:w w:val="110"/>
                <w:sz w:val="16"/>
                <w:szCs w:val="16"/>
              </w:rPr>
            </w:pPr>
            <w:r>
              <w:rPr>
                <w:rFonts w:asciiTheme="majorHAnsi" w:hAnsiTheme="majorHAnsi" w:cstheme="majorHAnsi"/>
                <w:sz w:val="16"/>
                <w:szCs w:val="16"/>
              </w:rPr>
              <w:t>CAN 1 ¼ 06/01/30</w:t>
            </w:r>
          </w:p>
        </w:tc>
        <w:tc>
          <w:tcPr>
            <w:tcW w:w="1080" w:type="dxa"/>
          </w:tcPr>
          <w:p w14:paraId="1CED3F04" w14:textId="11891951" w:rsidR="00520302" w:rsidRPr="00A0431F" w:rsidRDefault="00520302" w:rsidP="00520302">
            <w:pPr>
              <w:spacing w:before="40" w:after="40"/>
              <w:ind w:left="7"/>
              <w:jc w:val="center"/>
              <w:rPr>
                <w:rFonts w:cs="Arial"/>
                <w:b/>
                <w:bCs/>
                <w:spacing w:val="-2"/>
                <w:w w:val="110"/>
                <w:sz w:val="16"/>
                <w:szCs w:val="16"/>
              </w:rPr>
            </w:pPr>
            <w:r>
              <w:rPr>
                <w:rFonts w:asciiTheme="majorHAnsi" w:hAnsiTheme="majorHAnsi" w:cstheme="majorHAnsi"/>
                <w:w w:val="105"/>
                <w:sz w:val="16"/>
                <w:szCs w:val="16"/>
              </w:rPr>
              <w:t>FIT CAN0-50</w:t>
            </w:r>
          </w:p>
        </w:tc>
        <w:tc>
          <w:tcPr>
            <w:tcW w:w="1170" w:type="dxa"/>
          </w:tcPr>
          <w:p w14:paraId="54974AE7" w14:textId="667A22BB" w:rsidR="00520302" w:rsidRPr="001D2492" w:rsidRDefault="002655A3" w:rsidP="00520302">
            <w:pPr>
              <w:spacing w:before="40" w:after="40"/>
              <w:jc w:val="center"/>
              <w:rPr>
                <w:rFonts w:cs="Arial"/>
                <w:spacing w:val="-2"/>
                <w:w w:val="110"/>
                <w:sz w:val="16"/>
                <w:szCs w:val="16"/>
              </w:rPr>
            </w:pPr>
            <w:r w:rsidRPr="001D2492">
              <w:rPr>
                <w:rFonts w:cs="Arial"/>
                <w:spacing w:val="-2"/>
                <w:w w:val="110"/>
                <w:sz w:val="16"/>
                <w:szCs w:val="16"/>
              </w:rPr>
              <w:t>2.998</w:t>
            </w:r>
            <w:r w:rsidR="00520302" w:rsidRPr="003552B1">
              <w:rPr>
                <w:sz w:val="16"/>
                <w:szCs w:val="16"/>
              </w:rPr>
              <w:t>%</w:t>
            </w:r>
          </w:p>
        </w:tc>
        <w:tc>
          <w:tcPr>
            <w:tcW w:w="900" w:type="dxa"/>
          </w:tcPr>
          <w:p w14:paraId="4B216093" w14:textId="6EEF6188" w:rsidR="00520302" w:rsidRPr="00A0431F" w:rsidRDefault="00520302" w:rsidP="00520302">
            <w:pPr>
              <w:spacing w:before="40" w:after="40"/>
              <w:jc w:val="center"/>
              <w:rPr>
                <w:rFonts w:cs="Arial"/>
                <w:b/>
                <w:bCs/>
                <w:spacing w:val="-2"/>
                <w:w w:val="110"/>
                <w:sz w:val="16"/>
                <w:szCs w:val="16"/>
              </w:rPr>
            </w:pPr>
            <w:r>
              <w:rPr>
                <w:rFonts w:asciiTheme="majorHAnsi" w:hAnsiTheme="majorHAnsi" w:cstheme="majorHAnsi"/>
                <w:w w:val="105"/>
                <w:sz w:val="16"/>
                <w:szCs w:val="16"/>
              </w:rPr>
              <w:t>40</w:t>
            </w:r>
          </w:p>
        </w:tc>
        <w:tc>
          <w:tcPr>
            <w:tcW w:w="1260" w:type="dxa"/>
          </w:tcPr>
          <w:p w14:paraId="5A82CD61" w14:textId="2B2A5620" w:rsidR="00520302" w:rsidRPr="003552B1" w:rsidRDefault="00520302" w:rsidP="00520302">
            <w:pPr>
              <w:spacing w:before="40" w:after="40"/>
              <w:ind w:left="32"/>
              <w:jc w:val="center"/>
              <w:rPr>
                <w:sz w:val="16"/>
                <w:szCs w:val="16"/>
              </w:rPr>
            </w:pPr>
            <w:r w:rsidRPr="003552B1">
              <w:rPr>
                <w:rFonts w:asciiTheme="majorHAnsi" w:hAnsiTheme="majorHAnsi" w:cstheme="majorHAnsi"/>
                <w:kern w:val="28"/>
                <w:sz w:val="16"/>
                <w:szCs w:val="16"/>
              </w:rPr>
              <w:t>C$</w:t>
            </w:r>
            <w:r w:rsidR="002655A3" w:rsidRPr="001D2492">
              <w:rPr>
                <w:rFonts w:asciiTheme="majorHAnsi" w:hAnsiTheme="majorHAnsi" w:cstheme="majorHAnsi"/>
                <w:w w:val="105"/>
                <w:sz w:val="16"/>
                <w:szCs w:val="16"/>
              </w:rPr>
              <w:t>967.13</w:t>
            </w:r>
          </w:p>
        </w:tc>
        <w:tc>
          <w:tcPr>
            <w:tcW w:w="1350" w:type="dxa"/>
          </w:tcPr>
          <w:p w14:paraId="670DE43E" w14:textId="6A9DC34D" w:rsidR="00520302" w:rsidRPr="00A0431F" w:rsidRDefault="00520302" w:rsidP="00520302">
            <w:pPr>
              <w:spacing w:before="40" w:after="40"/>
              <w:ind w:left="2"/>
              <w:jc w:val="center"/>
              <w:rPr>
                <w:rFonts w:cs="Arial"/>
                <w:spacing w:val="-2"/>
                <w:w w:val="110"/>
                <w:sz w:val="16"/>
                <w:szCs w:val="16"/>
              </w:rPr>
            </w:pPr>
            <w:r>
              <w:rPr>
                <w:rFonts w:asciiTheme="majorHAnsi" w:hAnsiTheme="majorHAnsi" w:cstheme="majorHAnsi"/>
                <w:kern w:val="28"/>
                <w:sz w:val="16"/>
                <w:szCs w:val="16"/>
              </w:rPr>
              <w:t>C$</w:t>
            </w:r>
            <w:r w:rsidR="00BB481E" w:rsidRPr="00BB481E">
              <w:rPr>
                <w:rFonts w:asciiTheme="majorHAnsi" w:hAnsiTheme="majorHAnsi" w:cstheme="majorHAnsi"/>
                <w:kern w:val="28"/>
                <w:sz w:val="16"/>
                <w:szCs w:val="16"/>
              </w:rPr>
              <w:t>345,000,000</w:t>
            </w:r>
          </w:p>
        </w:tc>
      </w:tr>
    </w:tbl>
    <w:p w14:paraId="31413848" w14:textId="400D2080" w:rsidR="00331C6B" w:rsidRPr="00A0431F" w:rsidRDefault="00331C6B" w:rsidP="0056637A">
      <w:pPr>
        <w:pStyle w:val="BodyText"/>
        <w:spacing w:before="240"/>
        <w:ind w:left="270" w:hanging="540"/>
        <w:rPr>
          <w:sz w:val="18"/>
          <w:szCs w:val="18"/>
        </w:rPr>
      </w:pPr>
      <w:r w:rsidRPr="00A0431F">
        <w:rPr>
          <w:sz w:val="18"/>
          <w:szCs w:val="18"/>
        </w:rPr>
        <w:t>(1)</w:t>
      </w:r>
      <w:r w:rsidRPr="00A0431F">
        <w:rPr>
          <w:sz w:val="18"/>
          <w:szCs w:val="18"/>
        </w:rPr>
        <w:tab/>
        <w:t>No representation is made by the Company as to the correctness or accuracy of the CUSIP number</w:t>
      </w:r>
      <w:r w:rsidR="004F0A37">
        <w:rPr>
          <w:sz w:val="18"/>
          <w:szCs w:val="18"/>
        </w:rPr>
        <w:t>s</w:t>
      </w:r>
      <w:r w:rsidRPr="00A0431F">
        <w:rPr>
          <w:sz w:val="18"/>
          <w:szCs w:val="18"/>
        </w:rPr>
        <w:t xml:space="preserve"> or ISIN</w:t>
      </w:r>
      <w:r w:rsidR="004F0A37">
        <w:rPr>
          <w:sz w:val="18"/>
          <w:szCs w:val="18"/>
        </w:rPr>
        <w:t>s</w:t>
      </w:r>
      <w:r w:rsidRPr="00A0431F">
        <w:rPr>
          <w:sz w:val="18"/>
          <w:szCs w:val="18"/>
        </w:rPr>
        <w:t xml:space="preserve"> listed in this news release or printed on the </w:t>
      </w:r>
      <w:r w:rsidR="004B2F7C" w:rsidRPr="00A0431F">
        <w:rPr>
          <w:sz w:val="18"/>
          <w:szCs w:val="18"/>
        </w:rPr>
        <w:t>Debentures</w:t>
      </w:r>
      <w:r w:rsidRPr="00A0431F">
        <w:rPr>
          <w:sz w:val="18"/>
          <w:szCs w:val="18"/>
        </w:rPr>
        <w:t>. They are provided solely for convenience.</w:t>
      </w:r>
    </w:p>
    <w:p w14:paraId="0F295B94" w14:textId="6C00034B" w:rsidR="00331C6B" w:rsidRPr="00A0431F" w:rsidRDefault="00331C6B" w:rsidP="0056637A">
      <w:pPr>
        <w:pStyle w:val="BodyText"/>
        <w:ind w:left="270" w:hanging="540"/>
        <w:rPr>
          <w:sz w:val="18"/>
          <w:szCs w:val="18"/>
        </w:rPr>
      </w:pPr>
      <w:r w:rsidRPr="00A0431F">
        <w:rPr>
          <w:sz w:val="18"/>
          <w:szCs w:val="18"/>
        </w:rPr>
        <w:t>(2)</w:t>
      </w:r>
      <w:r w:rsidRPr="00A0431F">
        <w:rPr>
          <w:sz w:val="18"/>
          <w:szCs w:val="18"/>
        </w:rPr>
        <w:tab/>
        <w:t xml:space="preserve">Per C$1,000 principal </w:t>
      </w:r>
      <w:proofErr w:type="gramStart"/>
      <w:r w:rsidRPr="00A0431F">
        <w:rPr>
          <w:sz w:val="18"/>
          <w:szCs w:val="18"/>
        </w:rPr>
        <w:t>amount</w:t>
      </w:r>
      <w:proofErr w:type="gramEnd"/>
      <w:r w:rsidRPr="00A0431F">
        <w:rPr>
          <w:sz w:val="18"/>
          <w:szCs w:val="18"/>
        </w:rPr>
        <w:t xml:space="preserve"> of </w:t>
      </w:r>
      <w:r w:rsidR="004B2F7C" w:rsidRPr="00A0431F">
        <w:rPr>
          <w:sz w:val="18"/>
          <w:szCs w:val="18"/>
        </w:rPr>
        <w:t>Debentures</w:t>
      </w:r>
      <w:r w:rsidRPr="00A0431F">
        <w:rPr>
          <w:sz w:val="18"/>
          <w:szCs w:val="18"/>
        </w:rPr>
        <w:t xml:space="preserve"> validly tendered, and not validly withdrawn, at or prior to</w:t>
      </w:r>
      <w:r w:rsidR="00390B84" w:rsidRPr="00A0431F">
        <w:rPr>
          <w:sz w:val="18"/>
          <w:szCs w:val="18"/>
        </w:rPr>
        <w:t xml:space="preserve"> </w:t>
      </w:r>
      <w:r w:rsidR="005F1C82" w:rsidRPr="00B9451D">
        <w:rPr>
          <w:sz w:val="18"/>
          <w:szCs w:val="18"/>
        </w:rPr>
        <w:t>June</w:t>
      </w:r>
      <w:r w:rsidR="005F1C82" w:rsidRPr="005F1C82">
        <w:rPr>
          <w:sz w:val="18"/>
          <w:szCs w:val="18"/>
        </w:rPr>
        <w:t xml:space="preserve"> </w:t>
      </w:r>
      <w:r w:rsidR="005F1C82" w:rsidRPr="00B9451D">
        <w:rPr>
          <w:sz w:val="18"/>
          <w:szCs w:val="18"/>
        </w:rPr>
        <w:t>4</w:t>
      </w:r>
      <w:r w:rsidR="00390B84" w:rsidRPr="005F1C82">
        <w:rPr>
          <w:sz w:val="18"/>
          <w:szCs w:val="18"/>
        </w:rPr>
        <w:t>, 202</w:t>
      </w:r>
      <w:r w:rsidR="00F04B4C" w:rsidRPr="005F1C82">
        <w:rPr>
          <w:sz w:val="18"/>
          <w:szCs w:val="18"/>
        </w:rPr>
        <w:t>6</w:t>
      </w:r>
      <w:r w:rsidRPr="00A0431F">
        <w:rPr>
          <w:sz w:val="18"/>
          <w:szCs w:val="18"/>
        </w:rPr>
        <w:t xml:space="preserve"> </w:t>
      </w:r>
      <w:r w:rsidR="00390B84" w:rsidRPr="00A0431F">
        <w:rPr>
          <w:sz w:val="18"/>
          <w:szCs w:val="18"/>
        </w:rPr>
        <w:t>(</w:t>
      </w:r>
      <w:r w:rsidRPr="00A0431F">
        <w:rPr>
          <w:sz w:val="18"/>
          <w:szCs w:val="18"/>
        </w:rPr>
        <w:t>the</w:t>
      </w:r>
      <w:r w:rsidR="00390B84" w:rsidRPr="00A0431F">
        <w:rPr>
          <w:sz w:val="18"/>
          <w:szCs w:val="18"/>
        </w:rPr>
        <w:t> </w:t>
      </w:r>
      <w:r w:rsidR="00255F8C" w:rsidRPr="00A0431F">
        <w:rPr>
          <w:sz w:val="18"/>
          <w:szCs w:val="18"/>
        </w:rPr>
        <w:t>“</w:t>
      </w:r>
      <w:r w:rsidRPr="00A0431F">
        <w:rPr>
          <w:sz w:val="18"/>
          <w:szCs w:val="18"/>
        </w:rPr>
        <w:t>Expiration Date</w:t>
      </w:r>
      <w:r w:rsidR="00255F8C" w:rsidRPr="00A0431F">
        <w:rPr>
          <w:sz w:val="18"/>
          <w:szCs w:val="18"/>
        </w:rPr>
        <w:t>”</w:t>
      </w:r>
      <w:r w:rsidR="00390B84" w:rsidRPr="00A0431F">
        <w:rPr>
          <w:sz w:val="18"/>
          <w:szCs w:val="18"/>
        </w:rPr>
        <w:t>)</w:t>
      </w:r>
      <w:r w:rsidRPr="00A0431F">
        <w:rPr>
          <w:sz w:val="18"/>
          <w:szCs w:val="18"/>
        </w:rPr>
        <w:t xml:space="preserve"> and accepted for purchase; exclude</w:t>
      </w:r>
      <w:r w:rsidR="00BA7809" w:rsidRPr="00A0431F">
        <w:rPr>
          <w:sz w:val="18"/>
          <w:szCs w:val="18"/>
        </w:rPr>
        <w:t>s</w:t>
      </w:r>
      <w:r w:rsidRPr="00A0431F">
        <w:rPr>
          <w:sz w:val="18"/>
          <w:szCs w:val="18"/>
        </w:rPr>
        <w:t xml:space="preserve"> the Accrued Coupon Payment.</w:t>
      </w:r>
    </w:p>
    <w:p w14:paraId="4A600A80" w14:textId="788D0FEA" w:rsidR="00A93999" w:rsidRPr="002655A3" w:rsidRDefault="00E44361" w:rsidP="00E44361">
      <w:pPr>
        <w:pStyle w:val="BodyText"/>
        <w:ind w:left="270" w:hanging="540"/>
        <w:rPr>
          <w:sz w:val="18"/>
          <w:szCs w:val="18"/>
        </w:rPr>
      </w:pPr>
      <w:r w:rsidRPr="002655A3">
        <w:rPr>
          <w:sz w:val="18"/>
          <w:szCs w:val="18"/>
        </w:rPr>
        <w:t>(3)</w:t>
      </w:r>
      <w:r w:rsidRPr="002655A3">
        <w:rPr>
          <w:sz w:val="18"/>
          <w:szCs w:val="18"/>
        </w:rPr>
        <w:tab/>
        <w:t>Rounded figure of aggregate</w:t>
      </w:r>
      <w:r w:rsidR="00515330" w:rsidRPr="002655A3">
        <w:rPr>
          <w:sz w:val="18"/>
          <w:szCs w:val="18"/>
        </w:rPr>
        <w:t>d</w:t>
      </w:r>
      <w:r w:rsidRPr="002655A3">
        <w:rPr>
          <w:sz w:val="18"/>
          <w:szCs w:val="18"/>
        </w:rPr>
        <w:t xml:space="preserve"> principal amount. The actual aggregate</w:t>
      </w:r>
      <w:r w:rsidR="00515330" w:rsidRPr="002655A3">
        <w:rPr>
          <w:sz w:val="18"/>
          <w:szCs w:val="18"/>
        </w:rPr>
        <w:t>d</w:t>
      </w:r>
      <w:r w:rsidRPr="002655A3">
        <w:rPr>
          <w:sz w:val="18"/>
          <w:szCs w:val="18"/>
        </w:rPr>
        <w:t xml:space="preserve"> principal </w:t>
      </w:r>
      <w:proofErr w:type="gramStart"/>
      <w:r w:rsidRPr="002655A3">
        <w:rPr>
          <w:sz w:val="18"/>
          <w:szCs w:val="18"/>
        </w:rPr>
        <w:t>amount</w:t>
      </w:r>
      <w:proofErr w:type="gramEnd"/>
      <w:r w:rsidRPr="002655A3">
        <w:rPr>
          <w:sz w:val="18"/>
          <w:szCs w:val="18"/>
        </w:rPr>
        <w:t xml:space="preserve"> of Debentures accepted for purchase may be adjusted for rounding due to proration.</w:t>
      </w:r>
    </w:p>
    <w:p w14:paraId="064889C8" w14:textId="53B6C998" w:rsidR="0091386D" w:rsidRDefault="0091386D" w:rsidP="00B9451D">
      <w:pPr>
        <w:pStyle w:val="BodyText"/>
      </w:pPr>
      <w:r w:rsidRPr="0091386D">
        <w:t xml:space="preserve">The Financing Condition as described in the Offer to Purchase has been satisfied </w:t>
      </w:r>
      <w:proofErr w:type="gramStart"/>
      <w:r w:rsidRPr="0091386D">
        <w:t>as a result of</w:t>
      </w:r>
      <w:proofErr w:type="gramEnd"/>
      <w:r w:rsidRPr="0091386D">
        <w:t xml:space="preserve"> the closing of the Company’s previously announced public offering of two series of Canadian </w:t>
      </w:r>
      <w:proofErr w:type="gramStart"/>
      <w:r w:rsidRPr="0091386D">
        <w:t>medium term</w:t>
      </w:r>
      <w:proofErr w:type="gramEnd"/>
      <w:r w:rsidRPr="0091386D">
        <w:t xml:space="preserve"> notes in aggregate principal amount of C$1.6 billion.</w:t>
      </w:r>
    </w:p>
    <w:p w14:paraId="14AFE452" w14:textId="639C8288" w:rsidR="00331C6B" w:rsidRPr="006811E9" w:rsidRDefault="00331C6B" w:rsidP="00A80F29">
      <w:pPr>
        <w:pStyle w:val="Subtitle"/>
        <w:rPr>
          <w:sz w:val="24"/>
          <w:szCs w:val="24"/>
        </w:rPr>
      </w:pPr>
      <w:r w:rsidRPr="006811E9">
        <w:rPr>
          <w:sz w:val="24"/>
          <w:szCs w:val="24"/>
        </w:rPr>
        <w:t>Settlement</w:t>
      </w:r>
    </w:p>
    <w:p w14:paraId="2BC484DE" w14:textId="0C4445BD" w:rsidR="00A80F29" w:rsidRPr="00A0431F" w:rsidRDefault="00331C6B" w:rsidP="00331C6B">
      <w:pPr>
        <w:pStyle w:val="BodyText"/>
        <w:rPr>
          <w:sz w:val="22"/>
          <w:szCs w:val="22"/>
        </w:rPr>
      </w:pPr>
      <w:r w:rsidRPr="00A0431F">
        <w:rPr>
          <w:sz w:val="22"/>
          <w:szCs w:val="22"/>
        </w:rPr>
        <w:t xml:space="preserve">Payment of Total Consideration for </w:t>
      </w:r>
      <w:r w:rsidR="004B2F7C" w:rsidRPr="00A0431F">
        <w:rPr>
          <w:sz w:val="22"/>
          <w:szCs w:val="22"/>
        </w:rPr>
        <w:t>Debentures</w:t>
      </w:r>
      <w:r w:rsidRPr="00A0431F">
        <w:rPr>
          <w:sz w:val="22"/>
          <w:szCs w:val="22"/>
        </w:rPr>
        <w:t xml:space="preserve"> accepted for purchase will be made by the Company on the </w:t>
      </w:r>
      <w:r w:rsidR="00390B84" w:rsidRPr="00A0431F">
        <w:rPr>
          <w:sz w:val="22"/>
          <w:szCs w:val="22"/>
        </w:rPr>
        <w:t>s</w:t>
      </w:r>
      <w:r w:rsidRPr="00A0431F">
        <w:rPr>
          <w:sz w:val="22"/>
          <w:szCs w:val="22"/>
        </w:rPr>
        <w:t xml:space="preserve">ettlement </w:t>
      </w:r>
      <w:r w:rsidR="00390B84" w:rsidRPr="00A0431F">
        <w:rPr>
          <w:sz w:val="22"/>
          <w:szCs w:val="22"/>
        </w:rPr>
        <w:t>d</w:t>
      </w:r>
      <w:r w:rsidRPr="00A0431F">
        <w:rPr>
          <w:sz w:val="22"/>
          <w:szCs w:val="22"/>
        </w:rPr>
        <w:t xml:space="preserve">ate, which is expected to occur on </w:t>
      </w:r>
      <w:r w:rsidR="00581FBC">
        <w:rPr>
          <w:sz w:val="22"/>
          <w:szCs w:val="22"/>
        </w:rPr>
        <w:t>June</w:t>
      </w:r>
      <w:r w:rsidR="00D9665F" w:rsidRPr="00A0431F">
        <w:rPr>
          <w:sz w:val="22"/>
          <w:szCs w:val="22"/>
        </w:rPr>
        <w:t xml:space="preserve"> </w:t>
      </w:r>
      <w:r w:rsidR="00581FBC" w:rsidRPr="00B9451D">
        <w:rPr>
          <w:sz w:val="22"/>
          <w:szCs w:val="22"/>
        </w:rPr>
        <w:t>5</w:t>
      </w:r>
      <w:r w:rsidR="00BA7809" w:rsidRPr="00A0431F">
        <w:rPr>
          <w:sz w:val="22"/>
          <w:szCs w:val="22"/>
        </w:rPr>
        <w:t>, 202</w:t>
      </w:r>
      <w:r w:rsidR="00D9665F" w:rsidRPr="00A0431F">
        <w:rPr>
          <w:sz w:val="22"/>
          <w:szCs w:val="22"/>
        </w:rPr>
        <w:t>6</w:t>
      </w:r>
      <w:r w:rsidR="00390B84" w:rsidRPr="00A0431F">
        <w:rPr>
          <w:sz w:val="22"/>
          <w:szCs w:val="22"/>
        </w:rPr>
        <w:t xml:space="preserve"> (the </w:t>
      </w:r>
      <w:r w:rsidR="00255F8C" w:rsidRPr="00A0431F">
        <w:rPr>
          <w:sz w:val="22"/>
          <w:szCs w:val="22"/>
        </w:rPr>
        <w:t>“</w:t>
      </w:r>
      <w:r w:rsidR="00390B84" w:rsidRPr="00A0431F">
        <w:rPr>
          <w:sz w:val="22"/>
          <w:szCs w:val="22"/>
        </w:rPr>
        <w:t>Settlement Date</w:t>
      </w:r>
      <w:r w:rsidR="00255F8C" w:rsidRPr="00A0431F">
        <w:rPr>
          <w:sz w:val="22"/>
          <w:szCs w:val="22"/>
        </w:rPr>
        <w:t>”</w:t>
      </w:r>
      <w:r w:rsidR="00390B84" w:rsidRPr="00A0431F">
        <w:rPr>
          <w:sz w:val="22"/>
          <w:szCs w:val="22"/>
        </w:rPr>
        <w:t>)</w:t>
      </w:r>
      <w:r w:rsidRPr="00A0431F">
        <w:rPr>
          <w:sz w:val="22"/>
          <w:szCs w:val="22"/>
        </w:rPr>
        <w:t xml:space="preserve">. In addition to the Total Consideration, Holders whose </w:t>
      </w:r>
      <w:r w:rsidR="004B2F7C" w:rsidRPr="00A0431F">
        <w:rPr>
          <w:sz w:val="22"/>
          <w:szCs w:val="22"/>
        </w:rPr>
        <w:t>Debentures</w:t>
      </w:r>
      <w:r w:rsidRPr="00A0431F">
        <w:rPr>
          <w:sz w:val="22"/>
          <w:szCs w:val="22"/>
        </w:rPr>
        <w:t xml:space="preserve"> are accepted for purchase will receive a cash payment equal to the Accrued Coupon Payment, representing accrued and unpaid interest on such </w:t>
      </w:r>
      <w:r w:rsidR="00BA7809" w:rsidRPr="00A0431F">
        <w:rPr>
          <w:sz w:val="22"/>
          <w:szCs w:val="22"/>
        </w:rPr>
        <w:t>Debentures</w:t>
      </w:r>
      <w:r w:rsidRPr="00A0431F">
        <w:rPr>
          <w:sz w:val="22"/>
          <w:szCs w:val="22"/>
        </w:rPr>
        <w:t xml:space="preserve"> from and including the immediately preceding interest payment date for such </w:t>
      </w:r>
      <w:r w:rsidR="00BA7809" w:rsidRPr="00A0431F">
        <w:rPr>
          <w:sz w:val="22"/>
          <w:szCs w:val="22"/>
        </w:rPr>
        <w:t>Debentures</w:t>
      </w:r>
      <w:r w:rsidRPr="00A0431F">
        <w:rPr>
          <w:sz w:val="22"/>
          <w:szCs w:val="22"/>
        </w:rPr>
        <w:t xml:space="preserve"> to, but excluding, the Settlement Date. Holders whose </w:t>
      </w:r>
      <w:r w:rsidR="00BA7809" w:rsidRPr="00A0431F">
        <w:rPr>
          <w:sz w:val="22"/>
          <w:szCs w:val="22"/>
        </w:rPr>
        <w:t>Debentures</w:t>
      </w:r>
      <w:r w:rsidRPr="00A0431F">
        <w:rPr>
          <w:sz w:val="22"/>
          <w:szCs w:val="22"/>
        </w:rPr>
        <w:t xml:space="preserve"> are accepted for purchase will lose all rights as Holder of the tendered </w:t>
      </w:r>
      <w:r w:rsidR="00BA7809" w:rsidRPr="00A0431F">
        <w:rPr>
          <w:sz w:val="22"/>
          <w:szCs w:val="22"/>
        </w:rPr>
        <w:t>Debentures</w:t>
      </w:r>
      <w:r w:rsidRPr="00A0431F">
        <w:rPr>
          <w:sz w:val="22"/>
          <w:szCs w:val="22"/>
        </w:rPr>
        <w:t xml:space="preserve"> and interest will cease to accrue on the Settlement Date for all </w:t>
      </w:r>
      <w:r w:rsidR="004B2F7C" w:rsidRPr="00A0431F">
        <w:rPr>
          <w:sz w:val="22"/>
          <w:szCs w:val="22"/>
        </w:rPr>
        <w:t>Debentures</w:t>
      </w:r>
      <w:r w:rsidRPr="00A0431F">
        <w:rPr>
          <w:sz w:val="22"/>
          <w:szCs w:val="22"/>
        </w:rPr>
        <w:t xml:space="preserve"> accepted in the Offer</w:t>
      </w:r>
      <w:r w:rsidR="00564101" w:rsidRPr="00A0431F">
        <w:rPr>
          <w:sz w:val="22"/>
          <w:szCs w:val="22"/>
        </w:rPr>
        <w:t>s</w:t>
      </w:r>
      <w:r w:rsidRPr="00A0431F">
        <w:rPr>
          <w:sz w:val="22"/>
          <w:szCs w:val="22"/>
        </w:rPr>
        <w:t>.</w:t>
      </w:r>
    </w:p>
    <w:p w14:paraId="67ABC009" w14:textId="1A6DDBC5" w:rsidR="00331C6B" w:rsidRPr="00A0431F" w:rsidRDefault="00331C6B" w:rsidP="008F12AB">
      <w:pPr>
        <w:pStyle w:val="BodyText"/>
        <w:rPr>
          <w:sz w:val="22"/>
          <w:szCs w:val="22"/>
        </w:rPr>
      </w:pPr>
      <w:r w:rsidRPr="00A0431F">
        <w:rPr>
          <w:sz w:val="22"/>
          <w:szCs w:val="22"/>
        </w:rPr>
        <w:t>Following consummation of the Offer</w:t>
      </w:r>
      <w:r w:rsidR="00564101" w:rsidRPr="00A0431F">
        <w:rPr>
          <w:sz w:val="22"/>
          <w:szCs w:val="22"/>
        </w:rPr>
        <w:t>s</w:t>
      </w:r>
      <w:r w:rsidRPr="00A0431F">
        <w:rPr>
          <w:sz w:val="22"/>
          <w:szCs w:val="22"/>
        </w:rPr>
        <w:t xml:space="preserve">, any </w:t>
      </w:r>
      <w:r w:rsidR="004B2F7C" w:rsidRPr="00A0431F">
        <w:rPr>
          <w:sz w:val="22"/>
          <w:szCs w:val="22"/>
        </w:rPr>
        <w:t>Debentures</w:t>
      </w:r>
      <w:r w:rsidRPr="00A0431F">
        <w:rPr>
          <w:sz w:val="22"/>
          <w:szCs w:val="22"/>
        </w:rPr>
        <w:t xml:space="preserve"> that are purchased in the Offer</w:t>
      </w:r>
      <w:r w:rsidR="00564101" w:rsidRPr="00A0431F">
        <w:rPr>
          <w:sz w:val="22"/>
          <w:szCs w:val="22"/>
        </w:rPr>
        <w:t>s</w:t>
      </w:r>
      <w:r w:rsidRPr="00A0431F">
        <w:rPr>
          <w:sz w:val="22"/>
          <w:szCs w:val="22"/>
        </w:rPr>
        <w:t xml:space="preserve"> will be retired and cancelled and no longer remain outstanding. </w:t>
      </w:r>
      <w:r w:rsidR="00900D41" w:rsidRPr="00DD7DE6">
        <w:rPr>
          <w:sz w:val="22"/>
          <w:szCs w:val="22"/>
        </w:rPr>
        <w:t>All</w:t>
      </w:r>
      <w:r w:rsidR="00206A33" w:rsidRPr="00DD7DE6">
        <w:rPr>
          <w:sz w:val="22"/>
          <w:szCs w:val="22"/>
        </w:rPr>
        <w:t xml:space="preserve"> Debentures not accepted for purchase by the Company will be returned without cost to the tendering Holders.</w:t>
      </w:r>
    </w:p>
    <w:p w14:paraId="6505EBF1" w14:textId="77777777" w:rsidR="007E4889" w:rsidRPr="007E4889" w:rsidRDefault="007E4889" w:rsidP="007E4889">
      <w:pPr>
        <w:pStyle w:val="BodyText"/>
        <w:rPr>
          <w:b/>
          <w:bCs/>
          <w:sz w:val="22"/>
          <w:szCs w:val="22"/>
        </w:rPr>
      </w:pPr>
      <w:bookmarkStart w:id="1" w:name="_Hlk192762958"/>
      <w:r w:rsidRPr="007E4889">
        <w:rPr>
          <w:sz w:val="22"/>
          <w:szCs w:val="22"/>
        </w:rPr>
        <w:t xml:space="preserve">The Company has retained </w:t>
      </w:r>
      <w:r w:rsidRPr="007E4889">
        <w:rPr>
          <w:sz w:val="22"/>
          <w:szCs w:val="22"/>
          <w:lang w:val="en-US"/>
        </w:rPr>
        <w:t>RBC Dominion Securities Inc. (“RBC”),</w:t>
      </w:r>
      <w:r w:rsidRPr="007E4889">
        <w:rPr>
          <w:b/>
          <w:bCs/>
          <w:sz w:val="22"/>
          <w:szCs w:val="22"/>
          <w:lang w:val="en-US"/>
        </w:rPr>
        <w:t xml:space="preserve"> </w:t>
      </w:r>
      <w:r w:rsidRPr="007E4889">
        <w:rPr>
          <w:sz w:val="22"/>
          <w:szCs w:val="22"/>
          <w:lang w:val="en-US"/>
        </w:rPr>
        <w:t>Scotia Capital Inc. (“Scotia”)</w:t>
      </w:r>
      <w:r w:rsidRPr="007E4889">
        <w:rPr>
          <w:sz w:val="22"/>
          <w:szCs w:val="22"/>
        </w:rPr>
        <w:t xml:space="preserve"> and</w:t>
      </w:r>
      <w:r w:rsidRPr="007E4889">
        <w:rPr>
          <w:b/>
          <w:bCs/>
          <w:sz w:val="22"/>
          <w:szCs w:val="22"/>
        </w:rPr>
        <w:t xml:space="preserve"> </w:t>
      </w:r>
      <w:r w:rsidRPr="007E4889">
        <w:rPr>
          <w:sz w:val="22"/>
          <w:szCs w:val="22"/>
        </w:rPr>
        <w:t>CIBC World Markets Inc</w:t>
      </w:r>
      <w:r w:rsidRPr="007E4889">
        <w:rPr>
          <w:sz w:val="22"/>
          <w:szCs w:val="22"/>
          <w:lang w:val="en-US"/>
        </w:rPr>
        <w:t>. (“CIBC”)</w:t>
      </w:r>
      <w:bookmarkEnd w:id="1"/>
      <w:r w:rsidRPr="007E4889">
        <w:rPr>
          <w:sz w:val="22"/>
          <w:szCs w:val="22"/>
        </w:rPr>
        <w:t xml:space="preserve"> to act as lead dealer managers, and Desjardins Securities Inc., TD Securities Inc., BMO Nesbitt Burns Inc., National Bank Financial Inc., Merrill Lynch Canada Inc., Citigroup Global Markets Canada Inc., Wells Fargo Securities Canada, Ltd., SMBC Nikko Securities Canada, Ltd., Mizuho Securities Canada Inc. and Barclays Capital Canada Inc. to act as co-dealer managers (collectively, the “Dealer Managers”) for the Offers. Questions regarding the terms and conditions for the Offers or for copies of the Offer to Purchase should be directed to </w:t>
      </w:r>
      <w:bookmarkStart w:id="2" w:name="_Hlk192762974"/>
      <w:r w:rsidRPr="007E4889">
        <w:rPr>
          <w:sz w:val="22"/>
          <w:szCs w:val="22"/>
          <w:lang w:val="en-US"/>
        </w:rPr>
        <w:t>RBC at 1.877.381.2099 (toll-free)</w:t>
      </w:r>
      <w:r w:rsidRPr="007E4889">
        <w:rPr>
          <w:b/>
          <w:bCs/>
          <w:sz w:val="22"/>
          <w:szCs w:val="22"/>
        </w:rPr>
        <w:t xml:space="preserve"> </w:t>
      </w:r>
      <w:r w:rsidRPr="007E4889">
        <w:rPr>
          <w:sz w:val="22"/>
          <w:szCs w:val="22"/>
        </w:rPr>
        <w:t>or 416.842.6311 (collect)</w:t>
      </w:r>
      <w:r w:rsidRPr="007E4889">
        <w:rPr>
          <w:b/>
          <w:bCs/>
          <w:sz w:val="22"/>
          <w:szCs w:val="22"/>
        </w:rPr>
        <w:t>,</w:t>
      </w:r>
      <w:r w:rsidRPr="007E4889">
        <w:rPr>
          <w:sz w:val="22"/>
          <w:szCs w:val="22"/>
        </w:rPr>
        <w:t xml:space="preserve"> Scotia at </w:t>
      </w:r>
      <w:r w:rsidRPr="007E4889">
        <w:rPr>
          <w:sz w:val="22"/>
          <w:szCs w:val="22"/>
          <w:lang w:val="en-US"/>
        </w:rPr>
        <w:t>800.372.3930 (toll-free) or 212.225.5559 (collect),</w:t>
      </w:r>
      <w:r w:rsidRPr="007E4889">
        <w:rPr>
          <w:sz w:val="22"/>
          <w:szCs w:val="22"/>
        </w:rPr>
        <w:t xml:space="preserve"> or CIBC at 1.416.594.8515 (collect)</w:t>
      </w:r>
      <w:bookmarkEnd w:id="2"/>
      <w:r w:rsidRPr="007E4889">
        <w:rPr>
          <w:sz w:val="22"/>
          <w:szCs w:val="22"/>
        </w:rPr>
        <w:t>. You may also contact your broker, dealer, commercial bank, trust company or other nominee for assistance concerning the Offers.</w:t>
      </w:r>
    </w:p>
    <w:p w14:paraId="6ADC670F" w14:textId="5F9DB5F9" w:rsidR="00331C6B" w:rsidRPr="00A0431F" w:rsidRDefault="00331C6B" w:rsidP="00A80F29">
      <w:pPr>
        <w:pStyle w:val="BodyText"/>
        <w:rPr>
          <w:sz w:val="22"/>
          <w:szCs w:val="22"/>
        </w:rPr>
      </w:pPr>
      <w:r w:rsidRPr="00A0431F">
        <w:rPr>
          <w:sz w:val="22"/>
          <w:szCs w:val="22"/>
        </w:rPr>
        <w:t>TSX Trust Company is acting as the Tender Agent for the Offer</w:t>
      </w:r>
      <w:r w:rsidR="00564101" w:rsidRPr="00A0431F">
        <w:rPr>
          <w:sz w:val="22"/>
          <w:szCs w:val="22"/>
        </w:rPr>
        <w:t>s</w:t>
      </w:r>
      <w:r w:rsidRPr="00A0431F">
        <w:rPr>
          <w:sz w:val="22"/>
          <w:szCs w:val="22"/>
        </w:rPr>
        <w:t>.</w:t>
      </w:r>
    </w:p>
    <w:p w14:paraId="246A9C6B" w14:textId="611F9C18" w:rsidR="00331C6B" w:rsidRPr="0004597D" w:rsidRDefault="00331C6B" w:rsidP="00A80F29">
      <w:pPr>
        <w:pStyle w:val="BodyText"/>
        <w:rPr>
          <w:sz w:val="22"/>
          <w:szCs w:val="22"/>
        </w:rPr>
      </w:pPr>
      <w:r w:rsidRPr="00A0431F">
        <w:rPr>
          <w:sz w:val="22"/>
          <w:szCs w:val="22"/>
        </w:rPr>
        <w:t xml:space="preserve">If the Company terminates </w:t>
      </w:r>
      <w:r w:rsidR="00564101" w:rsidRPr="00A0431F">
        <w:rPr>
          <w:sz w:val="22"/>
          <w:szCs w:val="22"/>
        </w:rPr>
        <w:t xml:space="preserve">any </w:t>
      </w:r>
      <w:r w:rsidRPr="00A0431F">
        <w:rPr>
          <w:sz w:val="22"/>
          <w:szCs w:val="22"/>
        </w:rPr>
        <w:t xml:space="preserve">Offer, it will give prompt notice to the Tender Agent, and all </w:t>
      </w:r>
      <w:r w:rsidR="004B2F7C" w:rsidRPr="00A0431F">
        <w:rPr>
          <w:sz w:val="22"/>
          <w:szCs w:val="22"/>
        </w:rPr>
        <w:t>Debentures</w:t>
      </w:r>
      <w:r w:rsidRPr="00A0431F">
        <w:rPr>
          <w:sz w:val="22"/>
          <w:szCs w:val="22"/>
        </w:rPr>
        <w:t xml:space="preserve"> tendered pursuant to such terminated Offer will be returned promptly to the tendering </w:t>
      </w:r>
      <w:r w:rsidRPr="00A0431F">
        <w:rPr>
          <w:sz w:val="22"/>
          <w:szCs w:val="22"/>
        </w:rPr>
        <w:lastRenderedPageBreak/>
        <w:t>Holders thereof. With effect from such termination</w:t>
      </w:r>
      <w:r w:rsidRPr="0004597D">
        <w:rPr>
          <w:sz w:val="22"/>
          <w:szCs w:val="22"/>
        </w:rPr>
        <w:t xml:space="preserve">, any </w:t>
      </w:r>
      <w:r w:rsidR="004B2F7C" w:rsidRPr="0004597D">
        <w:rPr>
          <w:sz w:val="22"/>
          <w:szCs w:val="22"/>
        </w:rPr>
        <w:t>Debentures</w:t>
      </w:r>
      <w:r w:rsidRPr="0004597D">
        <w:rPr>
          <w:sz w:val="22"/>
          <w:szCs w:val="22"/>
        </w:rPr>
        <w:t xml:space="preserve"> blocked in </w:t>
      </w:r>
      <w:r w:rsidR="00581FBC" w:rsidRPr="00581FBC">
        <w:rPr>
          <w:sz w:val="22"/>
          <w:szCs w:val="22"/>
          <w:lang w:val="en-US"/>
        </w:rPr>
        <w:t>CDS Clearing and Depository Services Inc.</w:t>
      </w:r>
      <w:r w:rsidR="00581FBC">
        <w:rPr>
          <w:sz w:val="22"/>
          <w:szCs w:val="22"/>
          <w:lang w:val="en-US"/>
        </w:rPr>
        <w:t xml:space="preserve"> </w:t>
      </w:r>
      <w:r w:rsidRPr="0004597D">
        <w:rPr>
          <w:sz w:val="22"/>
          <w:szCs w:val="22"/>
        </w:rPr>
        <w:t>will be released.</w:t>
      </w:r>
    </w:p>
    <w:p w14:paraId="6AEB1DA3" w14:textId="451C32B8" w:rsidR="00331C6B" w:rsidRPr="006811E9" w:rsidRDefault="00331C6B" w:rsidP="00A80F29">
      <w:pPr>
        <w:pStyle w:val="Subtitle"/>
        <w:rPr>
          <w:sz w:val="24"/>
          <w:szCs w:val="24"/>
        </w:rPr>
      </w:pPr>
      <w:r w:rsidRPr="006811E9">
        <w:rPr>
          <w:sz w:val="24"/>
          <w:szCs w:val="24"/>
        </w:rPr>
        <w:t>Offer and Distribution Restrictions</w:t>
      </w:r>
    </w:p>
    <w:p w14:paraId="2E5F4A35" w14:textId="1E733326" w:rsidR="00331C6B" w:rsidRPr="0004597D" w:rsidRDefault="00331C6B" w:rsidP="00A80F29">
      <w:pPr>
        <w:pStyle w:val="BodyText"/>
        <w:rPr>
          <w:sz w:val="22"/>
          <w:szCs w:val="22"/>
        </w:rPr>
      </w:pPr>
      <w:r w:rsidRPr="0004597D">
        <w:rPr>
          <w:sz w:val="22"/>
          <w:szCs w:val="22"/>
        </w:rPr>
        <w:t>The Offer</w:t>
      </w:r>
      <w:r w:rsidR="00564101">
        <w:rPr>
          <w:sz w:val="22"/>
          <w:szCs w:val="22"/>
        </w:rPr>
        <w:t>s</w:t>
      </w:r>
      <w:r w:rsidRPr="0004597D">
        <w:rPr>
          <w:sz w:val="22"/>
          <w:szCs w:val="22"/>
        </w:rPr>
        <w:t xml:space="preserve"> </w:t>
      </w:r>
      <w:r w:rsidR="00564101">
        <w:rPr>
          <w:sz w:val="22"/>
          <w:szCs w:val="22"/>
        </w:rPr>
        <w:t>were</w:t>
      </w:r>
      <w:r w:rsidR="00564101" w:rsidRPr="0004597D">
        <w:rPr>
          <w:sz w:val="22"/>
          <w:szCs w:val="22"/>
        </w:rPr>
        <w:t xml:space="preserve"> </w:t>
      </w:r>
      <w:r w:rsidRPr="0004597D">
        <w:rPr>
          <w:sz w:val="22"/>
          <w:szCs w:val="22"/>
        </w:rPr>
        <w:t xml:space="preserve">made solely pursuant to the Offer to Purchase. This news release does not constitute a solicitation of an offer to buy any securities in the United States. No Offer constitutes an offer or an invitation by, or on behalf of, </w:t>
      </w:r>
      <w:r w:rsidR="00632651" w:rsidRPr="0004597D">
        <w:rPr>
          <w:sz w:val="22"/>
          <w:szCs w:val="22"/>
        </w:rPr>
        <w:t>BCE</w:t>
      </w:r>
      <w:r w:rsidR="00F921ED">
        <w:rPr>
          <w:sz w:val="22"/>
          <w:szCs w:val="22"/>
        </w:rPr>
        <w:t>, the Company</w:t>
      </w:r>
      <w:r w:rsidR="006C75AB">
        <w:rPr>
          <w:sz w:val="22"/>
          <w:szCs w:val="22"/>
        </w:rPr>
        <w:t xml:space="preserve"> </w:t>
      </w:r>
      <w:r w:rsidRPr="0004597D">
        <w:rPr>
          <w:sz w:val="22"/>
          <w:szCs w:val="22"/>
        </w:rPr>
        <w:t xml:space="preserve">or the </w:t>
      </w:r>
      <w:r w:rsidR="006F6987" w:rsidRPr="0004597D">
        <w:rPr>
          <w:sz w:val="22"/>
          <w:szCs w:val="22"/>
        </w:rPr>
        <w:t xml:space="preserve">Dealer Managers </w:t>
      </w:r>
      <w:r w:rsidRPr="0004597D">
        <w:rPr>
          <w:sz w:val="22"/>
          <w:szCs w:val="22"/>
        </w:rPr>
        <w:t>(</w:t>
      </w:r>
      <w:proofErr w:type="spellStart"/>
      <w:r w:rsidRPr="0004597D">
        <w:rPr>
          <w:sz w:val="22"/>
          <w:szCs w:val="22"/>
        </w:rPr>
        <w:t>i</w:t>
      </w:r>
      <w:proofErr w:type="spellEnd"/>
      <w:r w:rsidRPr="0004597D">
        <w:rPr>
          <w:sz w:val="22"/>
          <w:szCs w:val="22"/>
        </w:rPr>
        <w:t>)</w:t>
      </w:r>
      <w:r w:rsidR="00A80F29" w:rsidRPr="0004597D">
        <w:rPr>
          <w:sz w:val="22"/>
          <w:szCs w:val="22"/>
        </w:rPr>
        <w:t> </w:t>
      </w:r>
      <w:r w:rsidRPr="0004597D">
        <w:rPr>
          <w:sz w:val="22"/>
          <w:szCs w:val="22"/>
        </w:rPr>
        <w:t>to participate in the Offer</w:t>
      </w:r>
      <w:r w:rsidR="00564101">
        <w:rPr>
          <w:sz w:val="22"/>
          <w:szCs w:val="22"/>
        </w:rPr>
        <w:t>s</w:t>
      </w:r>
      <w:r w:rsidRPr="0004597D">
        <w:rPr>
          <w:sz w:val="22"/>
          <w:szCs w:val="22"/>
        </w:rPr>
        <w:t xml:space="preserve"> in the</w:t>
      </w:r>
      <w:r w:rsidR="00A80F29" w:rsidRPr="0004597D">
        <w:rPr>
          <w:sz w:val="22"/>
          <w:szCs w:val="22"/>
        </w:rPr>
        <w:t xml:space="preserve"> </w:t>
      </w:r>
      <w:r w:rsidRPr="0004597D">
        <w:rPr>
          <w:sz w:val="22"/>
          <w:szCs w:val="22"/>
        </w:rPr>
        <w:t xml:space="preserve">United States; (ii) to, or for the account or benefit of, any </w:t>
      </w:r>
      <w:r w:rsidR="00255F8C">
        <w:rPr>
          <w:sz w:val="22"/>
          <w:szCs w:val="22"/>
        </w:rPr>
        <w:t>“</w:t>
      </w:r>
      <w:r w:rsidRPr="0004597D">
        <w:rPr>
          <w:sz w:val="22"/>
          <w:szCs w:val="22"/>
        </w:rPr>
        <w:t>U.S. person</w:t>
      </w:r>
      <w:r w:rsidR="00255F8C">
        <w:rPr>
          <w:sz w:val="22"/>
          <w:szCs w:val="22"/>
        </w:rPr>
        <w:t>”</w:t>
      </w:r>
      <w:r w:rsidRPr="0004597D">
        <w:rPr>
          <w:sz w:val="22"/>
          <w:szCs w:val="22"/>
        </w:rPr>
        <w:t xml:space="preserve"> (as such term is defined in Regulation S of the U.S. Securities Act of 1933, as amended); or (iii)</w:t>
      </w:r>
      <w:r w:rsidR="00A80F29" w:rsidRPr="0004597D">
        <w:rPr>
          <w:sz w:val="22"/>
          <w:szCs w:val="22"/>
        </w:rPr>
        <w:t> </w:t>
      </w:r>
      <w:r w:rsidRPr="0004597D">
        <w:rPr>
          <w:sz w:val="22"/>
          <w:szCs w:val="22"/>
        </w:rPr>
        <w:t>to participate in the Offer</w:t>
      </w:r>
      <w:r w:rsidR="00564101">
        <w:rPr>
          <w:sz w:val="22"/>
          <w:szCs w:val="22"/>
        </w:rPr>
        <w:t>s</w:t>
      </w:r>
      <w:r w:rsidRPr="0004597D">
        <w:rPr>
          <w:sz w:val="22"/>
          <w:szCs w:val="22"/>
        </w:rPr>
        <w:t xml:space="preserve"> in any jurisdiction in which it is unlawful to make such </w:t>
      </w:r>
      <w:r w:rsidR="006C75AB">
        <w:rPr>
          <w:sz w:val="22"/>
          <w:szCs w:val="22"/>
        </w:rPr>
        <w:t xml:space="preserve">an </w:t>
      </w:r>
      <w:r w:rsidRPr="0004597D">
        <w:rPr>
          <w:sz w:val="22"/>
          <w:szCs w:val="22"/>
        </w:rPr>
        <w:t>offer or solicitation in such jurisdiction, and such persons are not eligible to participate in or tender any securities pursuant to the Offer</w:t>
      </w:r>
      <w:r w:rsidR="00564101">
        <w:rPr>
          <w:sz w:val="22"/>
          <w:szCs w:val="22"/>
        </w:rPr>
        <w:t>s</w:t>
      </w:r>
      <w:r w:rsidRPr="0004597D">
        <w:rPr>
          <w:sz w:val="22"/>
          <w:szCs w:val="22"/>
        </w:rPr>
        <w:t>. No action has been or will be taken in the United States or any other jurisdiction that would permit the possession, circulation or distribution of this news release, the Offer to Purchase or any other offering material or advertisements in connection with the Offer</w:t>
      </w:r>
      <w:r w:rsidR="00564101">
        <w:rPr>
          <w:sz w:val="22"/>
          <w:szCs w:val="22"/>
        </w:rPr>
        <w:t>s</w:t>
      </w:r>
      <w:r w:rsidRPr="0004597D">
        <w:rPr>
          <w:sz w:val="22"/>
          <w:szCs w:val="22"/>
        </w:rPr>
        <w:t xml:space="preserve"> to (</w:t>
      </w:r>
      <w:proofErr w:type="spellStart"/>
      <w:r w:rsidRPr="0004597D">
        <w:rPr>
          <w:sz w:val="22"/>
          <w:szCs w:val="22"/>
        </w:rPr>
        <w:t>i</w:t>
      </w:r>
      <w:proofErr w:type="spellEnd"/>
      <w:r w:rsidRPr="0004597D">
        <w:rPr>
          <w:sz w:val="22"/>
          <w:szCs w:val="22"/>
        </w:rPr>
        <w:t>)</w:t>
      </w:r>
      <w:r w:rsidR="00A80F29" w:rsidRPr="0004597D">
        <w:rPr>
          <w:sz w:val="22"/>
          <w:szCs w:val="22"/>
        </w:rPr>
        <w:t> </w:t>
      </w:r>
      <w:r w:rsidRPr="0004597D">
        <w:rPr>
          <w:sz w:val="22"/>
          <w:szCs w:val="22"/>
        </w:rPr>
        <w:t>any person in the United States; (ii)</w:t>
      </w:r>
      <w:r w:rsidR="00A80F29" w:rsidRPr="0004597D">
        <w:rPr>
          <w:sz w:val="22"/>
          <w:szCs w:val="22"/>
        </w:rPr>
        <w:t> </w:t>
      </w:r>
      <w:r w:rsidRPr="0004597D">
        <w:rPr>
          <w:sz w:val="22"/>
          <w:szCs w:val="22"/>
        </w:rPr>
        <w:t>any U.S. person; (iii) anyone in any other jurisdiction in which such offer or solicitation is not authorized; or (iv) any person to whom it is unlawful to make such offer or solicitation. Accordingly, neither this news release, the Offer to Purchase nor any other offering material or advertisements in connection with the Offer</w:t>
      </w:r>
      <w:r w:rsidR="00564101">
        <w:rPr>
          <w:sz w:val="22"/>
          <w:szCs w:val="22"/>
        </w:rPr>
        <w:t>s</w:t>
      </w:r>
      <w:r w:rsidRPr="0004597D">
        <w:rPr>
          <w:sz w:val="22"/>
          <w:szCs w:val="22"/>
        </w:rPr>
        <w:t xml:space="preserve"> may be distributed or published, in or from the United States or any such other jurisdiction (except in compliance with any applicable rules or regulations of such other jurisdiction). Tenders will not be accepted from any holder located or resident in the United States.</w:t>
      </w:r>
    </w:p>
    <w:p w14:paraId="18AEA4A1" w14:textId="2042DB1A" w:rsidR="00331C6B" w:rsidRPr="0004597D" w:rsidRDefault="00331C6B" w:rsidP="008607B9">
      <w:pPr>
        <w:pStyle w:val="BodyText"/>
        <w:rPr>
          <w:sz w:val="22"/>
          <w:szCs w:val="22"/>
        </w:rPr>
      </w:pPr>
      <w:r w:rsidRPr="0004597D">
        <w:rPr>
          <w:sz w:val="22"/>
          <w:szCs w:val="22"/>
        </w:rPr>
        <w:t>In any jurisdiction in which the securities laws require the Offer</w:t>
      </w:r>
      <w:r w:rsidR="00564101">
        <w:rPr>
          <w:sz w:val="22"/>
          <w:szCs w:val="22"/>
        </w:rPr>
        <w:t>s</w:t>
      </w:r>
      <w:r w:rsidRPr="0004597D">
        <w:rPr>
          <w:sz w:val="22"/>
          <w:szCs w:val="22"/>
        </w:rPr>
        <w:t xml:space="preserve"> to be made by a licensed broker or dealer, the Offer</w:t>
      </w:r>
      <w:r w:rsidR="00564101">
        <w:rPr>
          <w:sz w:val="22"/>
          <w:szCs w:val="22"/>
        </w:rPr>
        <w:t>s</w:t>
      </w:r>
      <w:r w:rsidRPr="0004597D">
        <w:rPr>
          <w:sz w:val="22"/>
          <w:szCs w:val="22"/>
        </w:rPr>
        <w:t xml:space="preserve"> will be deemed to have been made on behalf of the Company by the </w:t>
      </w:r>
      <w:r w:rsidR="006F6987" w:rsidRPr="0004597D">
        <w:rPr>
          <w:sz w:val="22"/>
          <w:szCs w:val="22"/>
        </w:rPr>
        <w:t xml:space="preserve">Dealer Managers </w:t>
      </w:r>
      <w:r w:rsidRPr="0004597D">
        <w:rPr>
          <w:sz w:val="22"/>
          <w:szCs w:val="22"/>
        </w:rPr>
        <w:t>or one or more registered brokers or dealers that are licensed under the laws of such jurisdiction.</w:t>
      </w:r>
    </w:p>
    <w:p w14:paraId="1C986F13" w14:textId="1F0B855D" w:rsidR="00331C6B" w:rsidRPr="0004597D" w:rsidRDefault="00331C6B" w:rsidP="008607B9">
      <w:pPr>
        <w:pStyle w:val="BodyText"/>
        <w:rPr>
          <w:sz w:val="22"/>
          <w:szCs w:val="22"/>
        </w:rPr>
      </w:pPr>
      <w:r w:rsidRPr="0004597D">
        <w:rPr>
          <w:sz w:val="22"/>
          <w:szCs w:val="22"/>
        </w:rPr>
        <w:t xml:space="preserve">This news release is for informational purposes only. This news release is not an offer to purchase or a solicitation of an offer to sell any </w:t>
      </w:r>
      <w:r w:rsidR="004B2F7C" w:rsidRPr="0004597D">
        <w:rPr>
          <w:sz w:val="22"/>
          <w:szCs w:val="22"/>
        </w:rPr>
        <w:t>Debentures</w:t>
      </w:r>
      <w:r w:rsidRPr="0004597D">
        <w:rPr>
          <w:sz w:val="22"/>
          <w:szCs w:val="22"/>
        </w:rPr>
        <w:t xml:space="preserve"> or any other securities of </w:t>
      </w:r>
      <w:r w:rsidR="00632651" w:rsidRPr="0004597D">
        <w:rPr>
          <w:sz w:val="22"/>
          <w:szCs w:val="22"/>
        </w:rPr>
        <w:t xml:space="preserve">BCE, </w:t>
      </w:r>
      <w:r w:rsidRPr="0004597D">
        <w:rPr>
          <w:sz w:val="22"/>
          <w:szCs w:val="22"/>
        </w:rPr>
        <w:t>the Company or any of their subsidiaries.</w:t>
      </w:r>
    </w:p>
    <w:p w14:paraId="10953699" w14:textId="2E92C8D9" w:rsidR="00331C6B" w:rsidRPr="006811E9" w:rsidRDefault="00041E39" w:rsidP="008607B9">
      <w:pPr>
        <w:pStyle w:val="Subtitle"/>
        <w:rPr>
          <w:sz w:val="24"/>
          <w:szCs w:val="24"/>
        </w:rPr>
      </w:pPr>
      <w:bookmarkStart w:id="3" w:name="_Hlk191645083"/>
      <w:r w:rsidRPr="006811E9">
        <w:rPr>
          <w:sz w:val="24"/>
          <w:szCs w:val="24"/>
        </w:rPr>
        <w:t xml:space="preserve">Caution Concerning </w:t>
      </w:r>
      <w:bookmarkEnd w:id="3"/>
      <w:r w:rsidR="00331C6B" w:rsidRPr="006811E9">
        <w:rPr>
          <w:sz w:val="24"/>
          <w:szCs w:val="24"/>
        </w:rPr>
        <w:t>Forward-Looking Statements</w:t>
      </w:r>
    </w:p>
    <w:p w14:paraId="09A3FAF9" w14:textId="79B9F4CE" w:rsidR="00331C6B" w:rsidRPr="00B9451D" w:rsidRDefault="006F6987" w:rsidP="007C30AC">
      <w:pPr>
        <w:pStyle w:val="BodyText"/>
        <w:rPr>
          <w:sz w:val="22"/>
          <w:szCs w:val="22"/>
          <w:lang w:val="en-US"/>
        </w:rPr>
      </w:pPr>
      <w:r w:rsidRPr="0004597D">
        <w:rPr>
          <w:sz w:val="22"/>
          <w:szCs w:val="22"/>
        </w:rPr>
        <w:t>Certain statements made in this news release are forward-looking statements, including, but not limited to, statements regarding</w:t>
      </w:r>
      <w:r w:rsidR="007C30AC" w:rsidRPr="007C30AC">
        <w:rPr>
          <w:rFonts w:cs="Arial"/>
          <w:color w:val="000000"/>
          <w:sz w:val="22"/>
          <w:szCs w:val="22"/>
          <w:lang w:val="en-US"/>
        </w:rPr>
        <w:t xml:space="preserve"> </w:t>
      </w:r>
      <w:r w:rsidR="007C30AC" w:rsidRPr="007C30AC">
        <w:rPr>
          <w:sz w:val="22"/>
          <w:szCs w:val="22"/>
          <w:lang w:val="en-US"/>
        </w:rPr>
        <w:t>the terms and conditions and timing for completion of the</w:t>
      </w:r>
      <w:r w:rsidR="007C30AC">
        <w:rPr>
          <w:sz w:val="22"/>
          <w:szCs w:val="22"/>
          <w:lang w:val="en-US"/>
        </w:rPr>
        <w:t xml:space="preserve"> </w:t>
      </w:r>
      <w:r w:rsidR="007C30AC" w:rsidRPr="007C30AC">
        <w:rPr>
          <w:sz w:val="22"/>
          <w:szCs w:val="22"/>
          <w:lang w:val="en-US"/>
        </w:rPr>
        <w:t>Offers</w:t>
      </w:r>
      <w:r w:rsidR="007C30AC">
        <w:rPr>
          <w:sz w:val="22"/>
          <w:szCs w:val="22"/>
          <w:lang w:val="en-US"/>
        </w:rPr>
        <w:t>,</w:t>
      </w:r>
      <w:r w:rsidRPr="0004597D">
        <w:rPr>
          <w:sz w:val="22"/>
          <w:szCs w:val="22"/>
        </w:rPr>
        <w:t xml:space="preserve"> </w:t>
      </w:r>
      <w:r w:rsidR="003D3FFC">
        <w:rPr>
          <w:sz w:val="22"/>
          <w:szCs w:val="22"/>
        </w:rPr>
        <w:t>t</w:t>
      </w:r>
      <w:r w:rsidR="003D3FFC" w:rsidRPr="003D3FFC">
        <w:rPr>
          <w:sz w:val="22"/>
          <w:szCs w:val="22"/>
          <w:lang w:val="en-US"/>
        </w:rPr>
        <w:t>he expected Settlement Date and other statements that are not historical facts</w:t>
      </w:r>
      <w:r w:rsidRPr="0004597D">
        <w:rPr>
          <w:sz w:val="22"/>
          <w:szCs w:val="22"/>
        </w:rPr>
        <w:t xml:space="preserve">. All such forward-looking statements are made pursuant to the </w:t>
      </w:r>
      <w:r w:rsidR="00255F8C">
        <w:rPr>
          <w:sz w:val="22"/>
          <w:szCs w:val="22"/>
        </w:rPr>
        <w:t>“</w:t>
      </w:r>
      <w:r w:rsidRPr="0004597D">
        <w:rPr>
          <w:sz w:val="22"/>
          <w:szCs w:val="22"/>
        </w:rPr>
        <w:t>safe harbour</w:t>
      </w:r>
      <w:r w:rsidR="00255F8C">
        <w:rPr>
          <w:sz w:val="22"/>
          <w:szCs w:val="22"/>
        </w:rPr>
        <w:t>”</w:t>
      </w:r>
      <w:r w:rsidRPr="0004597D">
        <w:rPr>
          <w:sz w:val="22"/>
          <w:szCs w:val="22"/>
        </w:rPr>
        <w:t xml:space="preserve"> provisions of applicable Canadian securities laws and of the United States </w:t>
      </w:r>
      <w:r w:rsidRPr="0004597D">
        <w:rPr>
          <w:i/>
          <w:iCs/>
          <w:sz w:val="22"/>
          <w:szCs w:val="22"/>
        </w:rPr>
        <w:t>Private Securities Litigation Reform Act of 1995</w:t>
      </w:r>
      <w:r w:rsidRPr="0004597D">
        <w:rPr>
          <w:sz w:val="22"/>
          <w:szCs w:val="22"/>
        </w:rPr>
        <w:t>.</w:t>
      </w:r>
      <w:r w:rsidR="006C75AB">
        <w:rPr>
          <w:sz w:val="22"/>
          <w:szCs w:val="22"/>
        </w:rPr>
        <w:t xml:space="preserve"> </w:t>
      </w:r>
      <w:r w:rsidRPr="0004597D">
        <w:rPr>
          <w:sz w:val="22"/>
          <w:szCs w:val="22"/>
        </w:rPr>
        <w:t>Forward-looking statements are subject to inherent risks and uncertainties and are based on several assumptions which give rise to the possibility that actual results or events could differ materially from our expectations. These statements are not guarantees of future performance or events</w:t>
      </w:r>
      <w:r w:rsidR="00F51A8D">
        <w:rPr>
          <w:sz w:val="22"/>
          <w:szCs w:val="22"/>
        </w:rPr>
        <w:t>,</w:t>
      </w:r>
      <w:r w:rsidRPr="0004597D">
        <w:rPr>
          <w:sz w:val="22"/>
          <w:szCs w:val="22"/>
        </w:rPr>
        <w:t xml:space="preserve"> and we caution you against relying on any of these forward-looking statements. The forward-looking statements </w:t>
      </w:r>
      <w:r w:rsidR="00D04E19">
        <w:rPr>
          <w:sz w:val="22"/>
          <w:szCs w:val="22"/>
        </w:rPr>
        <w:t xml:space="preserve">contained </w:t>
      </w:r>
      <w:r w:rsidRPr="0004597D">
        <w:rPr>
          <w:sz w:val="22"/>
          <w:szCs w:val="22"/>
        </w:rPr>
        <w:t>in this news release describe our expectations at the date of this news release and, accordingly, are subject to change after such date. Except as may be required by applicable securities laws, we do not undertake any obligation to update or revise any forward-looking statements</w:t>
      </w:r>
      <w:r w:rsidR="00D04E19">
        <w:rPr>
          <w:sz w:val="22"/>
          <w:szCs w:val="22"/>
        </w:rPr>
        <w:t xml:space="preserve"> contained</w:t>
      </w:r>
      <w:r w:rsidRPr="0004597D">
        <w:rPr>
          <w:sz w:val="22"/>
          <w:szCs w:val="22"/>
        </w:rPr>
        <w:t xml:space="preserve"> in this news release, whether </w:t>
      </w:r>
      <w:proofErr w:type="gramStart"/>
      <w:r w:rsidRPr="0004597D">
        <w:rPr>
          <w:sz w:val="22"/>
          <w:szCs w:val="22"/>
        </w:rPr>
        <w:t>as a result of</w:t>
      </w:r>
      <w:proofErr w:type="gramEnd"/>
      <w:r w:rsidRPr="0004597D">
        <w:rPr>
          <w:sz w:val="22"/>
          <w:szCs w:val="22"/>
        </w:rPr>
        <w:t xml:space="preserve"> new information, future events or otherwise. Forward-looking statements are </w:t>
      </w:r>
      <w:r w:rsidR="00D04E19">
        <w:rPr>
          <w:sz w:val="22"/>
          <w:szCs w:val="22"/>
        </w:rPr>
        <w:t>provided</w:t>
      </w:r>
      <w:r w:rsidRPr="0004597D">
        <w:rPr>
          <w:sz w:val="22"/>
          <w:szCs w:val="22"/>
        </w:rPr>
        <w:t xml:space="preserve"> herein for the purpose of giving information about the proposed Offers</w:t>
      </w:r>
      <w:r w:rsidR="006C75AB">
        <w:rPr>
          <w:sz w:val="22"/>
          <w:szCs w:val="22"/>
        </w:rPr>
        <w:t xml:space="preserve"> referred to above</w:t>
      </w:r>
      <w:r w:rsidRPr="0004597D">
        <w:rPr>
          <w:sz w:val="22"/>
          <w:szCs w:val="22"/>
        </w:rPr>
        <w:t>.</w:t>
      </w:r>
      <w:r w:rsidR="006C75AB">
        <w:rPr>
          <w:sz w:val="22"/>
          <w:szCs w:val="22"/>
        </w:rPr>
        <w:t xml:space="preserve"> </w:t>
      </w:r>
      <w:r w:rsidRPr="0004597D">
        <w:rPr>
          <w:sz w:val="22"/>
          <w:szCs w:val="22"/>
        </w:rPr>
        <w:t>Readers are cautioned that such information may not be appropriate for other purposes</w:t>
      </w:r>
      <w:r w:rsidR="00331C6B" w:rsidRPr="0004597D">
        <w:rPr>
          <w:sz w:val="22"/>
          <w:szCs w:val="22"/>
        </w:rPr>
        <w:t>.</w:t>
      </w:r>
      <w:r w:rsidR="00354273">
        <w:rPr>
          <w:sz w:val="22"/>
          <w:szCs w:val="22"/>
        </w:rPr>
        <w:t xml:space="preserve"> </w:t>
      </w:r>
      <w:r w:rsidR="00354273" w:rsidRPr="00354273">
        <w:rPr>
          <w:sz w:val="22"/>
          <w:szCs w:val="22"/>
          <w:lang w:val="en-US"/>
        </w:rPr>
        <w:t>For additional information on</w:t>
      </w:r>
      <w:r w:rsidR="00354273">
        <w:rPr>
          <w:sz w:val="22"/>
          <w:szCs w:val="22"/>
          <w:lang w:val="en-US"/>
        </w:rPr>
        <w:t xml:space="preserve"> </w:t>
      </w:r>
      <w:r w:rsidR="00354273" w:rsidRPr="00354273">
        <w:rPr>
          <w:sz w:val="22"/>
          <w:szCs w:val="22"/>
          <w:lang w:val="en-US"/>
        </w:rPr>
        <w:t>assumptions and risks underlying certain of the forward-looking statements made in this news</w:t>
      </w:r>
      <w:r w:rsidR="00354273">
        <w:rPr>
          <w:sz w:val="22"/>
          <w:szCs w:val="22"/>
          <w:lang w:val="en-US"/>
        </w:rPr>
        <w:t xml:space="preserve"> </w:t>
      </w:r>
      <w:r w:rsidR="00354273" w:rsidRPr="00354273">
        <w:rPr>
          <w:sz w:val="22"/>
          <w:szCs w:val="22"/>
          <w:lang w:val="en-US"/>
        </w:rPr>
        <w:t xml:space="preserve">release, please </w:t>
      </w:r>
      <w:r w:rsidR="00354273" w:rsidRPr="00354273">
        <w:rPr>
          <w:sz w:val="22"/>
          <w:szCs w:val="22"/>
          <w:lang w:val="en-US"/>
        </w:rPr>
        <w:lastRenderedPageBreak/>
        <w:t>consult BCE Inc.’s (BCE) 2025 Annual MD&amp;A dated March 5, 2026, BCE’s First</w:t>
      </w:r>
      <w:r w:rsidR="00354273">
        <w:rPr>
          <w:sz w:val="22"/>
          <w:szCs w:val="22"/>
          <w:lang w:val="en-US"/>
        </w:rPr>
        <w:t xml:space="preserve"> </w:t>
      </w:r>
      <w:r w:rsidR="00354273" w:rsidRPr="00354273">
        <w:rPr>
          <w:sz w:val="22"/>
          <w:szCs w:val="22"/>
          <w:lang w:val="en-US"/>
        </w:rPr>
        <w:t>Quarter MD&amp;A dated May 6, 2026 and BCE’s news release dated May 7, 2026 announcing its</w:t>
      </w:r>
      <w:r w:rsidR="00354273">
        <w:rPr>
          <w:sz w:val="22"/>
          <w:szCs w:val="22"/>
          <w:lang w:val="en-US"/>
        </w:rPr>
        <w:t xml:space="preserve"> </w:t>
      </w:r>
      <w:r w:rsidR="00354273" w:rsidRPr="00354273">
        <w:rPr>
          <w:sz w:val="22"/>
          <w:szCs w:val="22"/>
          <w:lang w:val="en-US"/>
        </w:rPr>
        <w:t>financial results for the first quarter of 2026, filed with the Canadian provincial securities</w:t>
      </w:r>
      <w:r w:rsidR="00354273">
        <w:rPr>
          <w:sz w:val="22"/>
          <w:szCs w:val="22"/>
          <w:lang w:val="en-US"/>
        </w:rPr>
        <w:t xml:space="preserve"> </w:t>
      </w:r>
      <w:r w:rsidR="00354273" w:rsidRPr="00354273">
        <w:rPr>
          <w:sz w:val="22"/>
          <w:szCs w:val="22"/>
          <w:lang w:val="en-US"/>
        </w:rPr>
        <w:t>regulatory authorities (available at sedarplus.ca) and with the U.S. Securities and Exchange</w:t>
      </w:r>
      <w:r w:rsidR="00354273">
        <w:rPr>
          <w:sz w:val="22"/>
          <w:szCs w:val="22"/>
          <w:lang w:val="en-US"/>
        </w:rPr>
        <w:t xml:space="preserve"> </w:t>
      </w:r>
      <w:r w:rsidR="00354273" w:rsidRPr="00354273">
        <w:rPr>
          <w:sz w:val="22"/>
          <w:szCs w:val="22"/>
          <w:lang w:val="en-US"/>
        </w:rPr>
        <w:t>Commission (available at SEC.gov). These documents are also available at BCE.ca.</w:t>
      </w:r>
    </w:p>
    <w:p w14:paraId="73A0F23A" w14:textId="77777777" w:rsidR="006F6987" w:rsidRPr="006811E9" w:rsidRDefault="006F6987" w:rsidP="006F6987">
      <w:pPr>
        <w:pStyle w:val="Subtitle"/>
        <w:rPr>
          <w:sz w:val="24"/>
          <w:szCs w:val="24"/>
        </w:rPr>
      </w:pPr>
      <w:bookmarkStart w:id="4" w:name="_Hlk191637264"/>
      <w:r w:rsidRPr="006811E9">
        <w:rPr>
          <w:sz w:val="24"/>
          <w:szCs w:val="24"/>
        </w:rPr>
        <w:t>About Bell</w:t>
      </w:r>
    </w:p>
    <w:p w14:paraId="00799489" w14:textId="1313007A" w:rsidR="006F6987" w:rsidRDefault="006F6987" w:rsidP="006F6987">
      <w:pPr>
        <w:pStyle w:val="BodyText"/>
        <w:rPr>
          <w:sz w:val="22"/>
          <w:szCs w:val="22"/>
        </w:rPr>
      </w:pPr>
      <w:r w:rsidRPr="0004597D">
        <w:rPr>
          <w:sz w:val="22"/>
          <w:szCs w:val="22"/>
        </w:rPr>
        <w:t>Bell is Canada’s largest communications company</w:t>
      </w:r>
      <w:r w:rsidR="00515330" w:rsidRPr="003309DE">
        <w:rPr>
          <w:sz w:val="22"/>
          <w:szCs w:val="22"/>
          <w:vertAlign w:val="superscript"/>
        </w:rPr>
        <w:t>1</w:t>
      </w:r>
      <w:r w:rsidRPr="0004597D">
        <w:rPr>
          <w:sz w:val="22"/>
          <w:szCs w:val="22"/>
        </w:rPr>
        <w:t xml:space="preserve">, </w:t>
      </w:r>
      <w:r w:rsidR="00D9665F" w:rsidRPr="00C664CC">
        <w:rPr>
          <w:sz w:val="22"/>
          <w:szCs w:val="22"/>
        </w:rPr>
        <w:t>leading the way in advanced fibre</w:t>
      </w:r>
      <w:r w:rsidR="00D9665F">
        <w:rPr>
          <w:sz w:val="22"/>
          <w:szCs w:val="22"/>
        </w:rPr>
        <w:t xml:space="preserve"> </w:t>
      </w:r>
      <w:r w:rsidR="00D9665F" w:rsidRPr="00C664CC">
        <w:rPr>
          <w:sz w:val="22"/>
          <w:szCs w:val="22"/>
        </w:rPr>
        <w:t>and wireless networks, enterprise services and digital media. By delivering next-generation technology that leverages cloud-based and AI-driven solutions, we’re keeping</w:t>
      </w:r>
      <w:r w:rsidR="00D9665F">
        <w:rPr>
          <w:sz w:val="22"/>
          <w:szCs w:val="22"/>
        </w:rPr>
        <w:t xml:space="preserve"> </w:t>
      </w:r>
      <w:r w:rsidR="00D9665F" w:rsidRPr="00C664CC">
        <w:rPr>
          <w:sz w:val="22"/>
          <w:szCs w:val="22"/>
        </w:rPr>
        <w:t>customers connected, informed and entertained while enabling businesses to compete</w:t>
      </w:r>
      <w:r w:rsidR="00D9665F">
        <w:rPr>
          <w:sz w:val="22"/>
          <w:szCs w:val="22"/>
        </w:rPr>
        <w:t xml:space="preserve"> </w:t>
      </w:r>
      <w:r w:rsidR="00D9665F" w:rsidRPr="00C664CC">
        <w:rPr>
          <w:sz w:val="22"/>
          <w:szCs w:val="22"/>
        </w:rPr>
        <w:t>on the world stage</w:t>
      </w:r>
      <w:r w:rsidRPr="0004597D">
        <w:rPr>
          <w:sz w:val="22"/>
          <w:szCs w:val="22"/>
        </w:rPr>
        <w:t xml:space="preserve">. To learn more, please visit </w:t>
      </w:r>
      <w:hyperlink r:id="rId7" w:history="1">
        <w:r w:rsidRPr="0004597D">
          <w:rPr>
            <w:rStyle w:val="Hyperlink"/>
            <w:color w:val="auto"/>
            <w:sz w:val="22"/>
            <w:szCs w:val="22"/>
          </w:rPr>
          <w:t>Bell.ca</w:t>
        </w:r>
      </w:hyperlink>
      <w:r w:rsidRPr="0004597D">
        <w:rPr>
          <w:sz w:val="22"/>
          <w:szCs w:val="22"/>
        </w:rPr>
        <w:t xml:space="preserve"> or </w:t>
      </w:r>
      <w:hyperlink r:id="rId8" w:history="1">
        <w:r w:rsidRPr="0004597D">
          <w:rPr>
            <w:rStyle w:val="Hyperlink"/>
            <w:color w:val="auto"/>
            <w:sz w:val="22"/>
            <w:szCs w:val="22"/>
          </w:rPr>
          <w:t>BCE.ca</w:t>
        </w:r>
      </w:hyperlink>
      <w:r w:rsidRPr="0004597D">
        <w:rPr>
          <w:sz w:val="22"/>
          <w:szCs w:val="22"/>
        </w:rPr>
        <w:t>.</w:t>
      </w:r>
    </w:p>
    <w:p w14:paraId="76BEA43D" w14:textId="46F2B4B6" w:rsidR="00515330" w:rsidRPr="003309DE" w:rsidRDefault="00515330" w:rsidP="006F6987">
      <w:pPr>
        <w:pStyle w:val="BodyText"/>
        <w:rPr>
          <w:sz w:val="18"/>
          <w:szCs w:val="18"/>
        </w:rPr>
      </w:pPr>
      <w:r w:rsidRPr="003309DE">
        <w:rPr>
          <w:sz w:val="18"/>
          <w:szCs w:val="18"/>
          <w:vertAlign w:val="superscript"/>
          <w:lang w:val="en-US"/>
        </w:rPr>
        <w:t>1</w:t>
      </w:r>
      <w:r w:rsidRPr="003309DE">
        <w:rPr>
          <w:sz w:val="18"/>
          <w:szCs w:val="18"/>
          <w:lang w:val="en-US"/>
        </w:rPr>
        <w:t>Based on total revenue and total combined customer connections.</w:t>
      </w:r>
    </w:p>
    <w:p w14:paraId="6F6DCA8B" w14:textId="61CD4FF4" w:rsidR="006F6987" w:rsidRPr="00900D41" w:rsidRDefault="006F6987" w:rsidP="006F6987">
      <w:pPr>
        <w:pStyle w:val="BodyText2"/>
        <w:spacing w:line="240" w:lineRule="auto"/>
        <w:jc w:val="left"/>
        <w:rPr>
          <w:rStyle w:val="Strong"/>
          <w:lang w:val="es-SV"/>
        </w:rPr>
      </w:pPr>
      <w:r w:rsidRPr="00900D41">
        <w:rPr>
          <w:rStyle w:val="Strong"/>
          <w:rFonts w:cs="Arial"/>
          <w:sz w:val="22"/>
          <w:szCs w:val="22"/>
          <w:lang w:val="es-SV"/>
        </w:rPr>
        <w:t xml:space="preserve">Media </w:t>
      </w:r>
      <w:proofErr w:type="spellStart"/>
      <w:r w:rsidRPr="00900D41">
        <w:rPr>
          <w:rStyle w:val="Strong"/>
          <w:rFonts w:cs="Arial"/>
          <w:sz w:val="22"/>
          <w:szCs w:val="22"/>
          <w:lang w:val="es-SV"/>
        </w:rPr>
        <w:t>Inquiries</w:t>
      </w:r>
      <w:proofErr w:type="spellEnd"/>
      <w:r w:rsidRPr="00900D41">
        <w:rPr>
          <w:rStyle w:val="Strong"/>
          <w:rFonts w:cs="Arial"/>
          <w:sz w:val="22"/>
          <w:szCs w:val="22"/>
          <w:lang w:val="es-SV"/>
        </w:rPr>
        <w:t>:</w:t>
      </w:r>
      <w:r w:rsidRPr="00900D41">
        <w:rPr>
          <w:rFonts w:cs="Arial"/>
          <w:b/>
          <w:bCs/>
          <w:sz w:val="22"/>
          <w:szCs w:val="22"/>
          <w:lang w:val="es-SV"/>
        </w:rPr>
        <w:br/>
      </w:r>
      <w:r w:rsidRPr="00900D41">
        <w:rPr>
          <w:rFonts w:cs="Arial"/>
          <w:sz w:val="22"/>
          <w:szCs w:val="22"/>
          <w:lang w:val="es-SV"/>
        </w:rPr>
        <w:t>Ellen Murphy</w:t>
      </w:r>
      <w:r w:rsidRPr="00900D41">
        <w:rPr>
          <w:rFonts w:cs="Arial"/>
          <w:sz w:val="22"/>
          <w:szCs w:val="22"/>
          <w:lang w:val="es-SV"/>
        </w:rPr>
        <w:br/>
      </w:r>
      <w:hyperlink r:id="rId9" w:history="1">
        <w:r w:rsidRPr="00900D41">
          <w:rPr>
            <w:rStyle w:val="Hyperlink"/>
            <w:rFonts w:cs="Arial"/>
            <w:color w:val="auto"/>
            <w:sz w:val="22"/>
            <w:szCs w:val="22"/>
            <w:lang w:val="es-SV"/>
          </w:rPr>
          <w:t>media@bell.ca</w:t>
        </w:r>
      </w:hyperlink>
    </w:p>
    <w:p w14:paraId="6F1D26E9" w14:textId="20940683" w:rsidR="001B0D58" w:rsidRPr="0004597D" w:rsidRDefault="006F6987" w:rsidP="000A4BF0">
      <w:pPr>
        <w:pStyle w:val="BodyText2"/>
        <w:spacing w:line="240" w:lineRule="auto"/>
        <w:jc w:val="left"/>
        <w:rPr>
          <w:sz w:val="22"/>
        </w:rPr>
      </w:pPr>
      <w:r w:rsidRPr="003309DE">
        <w:rPr>
          <w:rStyle w:val="Strong"/>
          <w:rFonts w:cs="Arial"/>
          <w:sz w:val="22"/>
          <w:szCs w:val="22"/>
        </w:rPr>
        <w:t>Investor Inquiries:</w:t>
      </w:r>
      <w:r w:rsidRPr="00B9451D">
        <w:rPr>
          <w:rFonts w:cs="Arial"/>
          <w:b/>
          <w:bCs/>
          <w:sz w:val="22"/>
          <w:szCs w:val="22"/>
        </w:rPr>
        <w:br/>
      </w:r>
      <w:r w:rsidR="00D9665F" w:rsidRPr="00B9451D">
        <w:rPr>
          <w:rFonts w:cs="Arial"/>
          <w:sz w:val="22"/>
          <w:szCs w:val="22"/>
        </w:rPr>
        <w:t>Krishna Somers</w:t>
      </w:r>
      <w:r w:rsidR="00D9665F" w:rsidRPr="00B9451D">
        <w:rPr>
          <w:rFonts w:cs="Arial"/>
          <w:sz w:val="22"/>
          <w:szCs w:val="22"/>
        </w:rPr>
        <w:br/>
      </w:r>
      <w:hyperlink r:id="rId10" w:history="1">
        <w:r w:rsidR="00D9665F" w:rsidRPr="00B9451D">
          <w:rPr>
            <w:rStyle w:val="Hyperlink"/>
            <w:color w:val="auto"/>
            <w:sz w:val="22"/>
            <w:szCs w:val="22"/>
          </w:rPr>
          <w:t>krishna.somers@bell.ca</w:t>
        </w:r>
      </w:hyperlink>
      <w:bookmarkEnd w:id="4"/>
    </w:p>
    <w:sectPr w:rsidR="001B0D58" w:rsidRPr="0004597D" w:rsidSect="005B6D7A">
      <w:footerReference w:type="even" r:id="rId11"/>
      <w:footerReference w:type="default" r:id="rId12"/>
      <w:headerReference w:type="first" r:id="rId13"/>
      <w:footerReference w:type="first" r:id="rId14"/>
      <w:pgSz w:w="12240" w:h="15840" w:code="1"/>
      <w:pgMar w:top="1440" w:right="1440" w:bottom="1440" w:left="1440" w:header="36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68F64" w14:textId="77777777" w:rsidR="00707428" w:rsidRDefault="00707428" w:rsidP="00960DBB">
      <w:pPr>
        <w:spacing w:after="0"/>
      </w:pPr>
      <w:r>
        <w:separator/>
      </w:r>
    </w:p>
  </w:endnote>
  <w:endnote w:type="continuationSeparator" w:id="0">
    <w:p w14:paraId="29786A9B" w14:textId="77777777" w:rsidR="00707428" w:rsidRDefault="00707428" w:rsidP="00960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Gras">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iDocIDFieldbb73364b-1959-4f1e-9c59-f7d2"/>
  <w:p w14:paraId="519ED000" w14:textId="77777777" w:rsidR="000F553F" w:rsidRDefault="000F553F">
    <w:pPr>
      <w:pStyle w:val="DocID"/>
    </w:pPr>
    <w:r>
      <w:fldChar w:fldCharType="begin"/>
    </w:r>
    <w:r>
      <w:instrText xml:space="preserve">  DOCPROPERTY "CUS_DocIDChunk0" </w:instrText>
    </w:r>
    <w:r>
      <w:fldChar w:fldCharType="separate"/>
    </w:r>
    <w:r>
      <w:rPr>
        <w:noProof/>
      </w:rPr>
      <w:t>151075172</w:t>
    </w:r>
    <w:r>
      <w:fldChar w:fldCharType="end"/>
    </w:r>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964754"/>
      <w:docPartObj>
        <w:docPartGallery w:val="Page Numbers (Bottom of Page)"/>
        <w:docPartUnique/>
      </w:docPartObj>
    </w:sdtPr>
    <w:sdtEndPr>
      <w:rPr>
        <w:noProof/>
      </w:rPr>
    </w:sdtEndPr>
    <w:sdtContent>
      <w:p w14:paraId="71BCF4EF" w14:textId="77777777" w:rsidR="000F553F" w:rsidRDefault="000F553F" w:rsidP="002540CA">
        <w:pPr>
          <w:pStyle w:val="Footer"/>
          <w:jc w:val="center"/>
        </w:pPr>
        <w:r>
          <w:fldChar w:fldCharType="begin"/>
        </w:r>
        <w:r>
          <w:instrText xml:space="preserve"> PAGE   \* MERGEFORMAT </w:instrText>
        </w:r>
        <w:r>
          <w:fldChar w:fldCharType="separate"/>
        </w:r>
        <w:r>
          <w:t>1</w:t>
        </w:r>
        <w:r>
          <w:rPr>
            <w:noProof/>
          </w:rPr>
          <w:fldChar w:fldCharType="end"/>
        </w:r>
      </w:p>
    </w:sdtContent>
  </w:sdt>
  <w:bookmarkStart w:id="6" w:name="_iDocIDField2b4b710e-10de-4f72-b715-28b1"/>
  <w:p w14:paraId="790D7818" w14:textId="77777777" w:rsidR="000F553F" w:rsidRDefault="000F553F">
    <w:pPr>
      <w:pStyle w:val="DocID"/>
    </w:pPr>
    <w:r>
      <w:fldChar w:fldCharType="begin"/>
    </w:r>
    <w:r>
      <w:instrText xml:space="preserve">  DOCPROPERTY "CUS_DocIDChunk0" </w:instrText>
    </w:r>
    <w:r>
      <w:fldChar w:fldCharType="separate"/>
    </w:r>
    <w:r>
      <w:rPr>
        <w:noProof/>
      </w:rPr>
      <w:t>151075172</w:t>
    </w:r>
    <w:r>
      <w:fldChar w:fldCharType="end"/>
    </w:r>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iDocIDFieldca39ad7d-483e-48f9-8e53-665e"/>
  <w:p w14:paraId="650BBB27" w14:textId="77777777" w:rsidR="000F553F" w:rsidRDefault="000F553F">
    <w:pPr>
      <w:pStyle w:val="DocID"/>
    </w:pPr>
    <w:r>
      <w:fldChar w:fldCharType="begin"/>
    </w:r>
    <w:r>
      <w:instrText xml:space="preserve">  DOCPROPERTY "CUS_DocIDChunk0" </w:instrText>
    </w:r>
    <w:r>
      <w:fldChar w:fldCharType="separate"/>
    </w:r>
    <w:r>
      <w:rPr>
        <w:noProof/>
      </w:rPr>
      <w:t>151075172</w:t>
    </w:r>
    <w:r>
      <w:fldChar w:fldCharType="end"/>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BBEC" w14:textId="77777777" w:rsidR="00707428" w:rsidRDefault="00707428" w:rsidP="00960DBB">
      <w:pPr>
        <w:spacing w:after="0"/>
      </w:pPr>
      <w:r>
        <w:separator/>
      </w:r>
    </w:p>
  </w:footnote>
  <w:footnote w:type="continuationSeparator" w:id="0">
    <w:p w14:paraId="24921C4A" w14:textId="77777777" w:rsidR="00707428" w:rsidRDefault="00707428" w:rsidP="00960D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ED84" w14:textId="0E97044C" w:rsidR="00073FD4" w:rsidRPr="00622A8E" w:rsidRDefault="00622A8E" w:rsidP="00622A8E">
    <w:pPr>
      <w:pStyle w:val="Header"/>
      <w:tabs>
        <w:tab w:val="clear" w:pos="4680"/>
      </w:tabs>
      <w:jc w:val="right"/>
      <w:rPr>
        <w:rFonts w:cs="Arial"/>
        <w:i/>
        <w:iCs/>
        <w:noProof/>
        <w:sz w:val="20"/>
        <w:lang w:eastAsia="en-CA"/>
      </w:rPr>
    </w:pPr>
    <w:r w:rsidRPr="00622A8E">
      <w:rPr>
        <w:rFonts w:cs="Arial"/>
        <w:i/>
        <w:iCs/>
        <w:noProof/>
        <w:sz w:val="20"/>
        <w:lang w:eastAsia="en-CA"/>
      </w:rPr>
      <w:t xml:space="preserve">SE Draft – </w:t>
    </w:r>
    <w:r w:rsidR="00FC2354">
      <w:rPr>
        <w:rFonts w:cs="Arial"/>
        <w:i/>
        <w:iCs/>
        <w:noProof/>
        <w:sz w:val="20"/>
        <w:lang w:eastAsia="en-CA"/>
      </w:rPr>
      <w:t>June</w:t>
    </w:r>
    <w:r w:rsidR="00FC2354" w:rsidRPr="00622A8E">
      <w:rPr>
        <w:rFonts w:cs="Arial"/>
        <w:i/>
        <w:iCs/>
        <w:noProof/>
        <w:sz w:val="20"/>
        <w:lang w:eastAsia="en-CA"/>
      </w:rPr>
      <w:t xml:space="preserve"> </w:t>
    </w:r>
    <w:r w:rsidR="007A0C20">
      <w:rPr>
        <w:rFonts w:cs="Arial"/>
        <w:i/>
        <w:iCs/>
        <w:noProof/>
        <w:sz w:val="20"/>
        <w:lang w:eastAsia="en-CA"/>
      </w:rPr>
      <w:t>4</w:t>
    </w:r>
    <w:r w:rsidRPr="00622A8E">
      <w:rPr>
        <w:rFonts w:cs="Arial"/>
        <w:i/>
        <w:iCs/>
        <w:noProof/>
        <w:sz w:val="20"/>
        <w:lang w:eastAsia="en-CA"/>
      </w:rPr>
      <w:t>, 2026</w:t>
    </w:r>
  </w:p>
  <w:p w14:paraId="1B96C0DD" w14:textId="77777777" w:rsidR="00073FD4" w:rsidRDefault="00073FD4" w:rsidP="00073FD4">
    <w:pPr>
      <w:pStyle w:val="Header"/>
      <w:tabs>
        <w:tab w:val="clear" w:pos="4680"/>
      </w:tabs>
      <w:jc w:val="left"/>
      <w:rPr>
        <w:noProof/>
        <w:lang w:eastAsia="en-CA"/>
      </w:rPr>
    </w:pPr>
  </w:p>
  <w:p w14:paraId="0171A4F2" w14:textId="77777777" w:rsidR="00073FD4" w:rsidRDefault="00073FD4" w:rsidP="00073FD4">
    <w:pPr>
      <w:pStyle w:val="Header"/>
      <w:tabs>
        <w:tab w:val="clear" w:pos="4680"/>
      </w:tabs>
      <w:jc w:val="left"/>
    </w:pPr>
    <w:r>
      <w:rPr>
        <w:noProof/>
        <w:lang w:eastAsia="en-CA"/>
      </w:rPr>
      <w:drawing>
        <wp:anchor distT="0" distB="0" distL="114300" distR="114300" simplePos="0" relativeHeight="251659264" behindDoc="1" locked="0" layoutInCell="1" allowOverlap="1" wp14:anchorId="2B4EABEF" wp14:editId="0426AE52">
          <wp:simplePos x="0" y="0"/>
          <wp:positionH relativeFrom="margin">
            <wp:posOffset>3862400</wp:posOffset>
          </wp:positionH>
          <wp:positionV relativeFrom="paragraph">
            <wp:posOffset>195580</wp:posOffset>
          </wp:positionV>
          <wp:extent cx="2114550" cy="299923"/>
          <wp:effectExtent l="0" t="0" r="0" b="5080"/>
          <wp:wrapNone/>
          <wp:docPr id="112245525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A blue and white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19674"/>
                  <a:stretch/>
                </pic:blipFill>
                <pic:spPr bwMode="auto">
                  <a:xfrm>
                    <a:off x="0" y="0"/>
                    <a:ext cx="2114550" cy="2999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F11F9">
      <w:rPr>
        <w:rFonts w:cs="Arial"/>
        <w:noProof/>
        <w:sz w:val="20"/>
        <w:lang w:eastAsia="en-CA"/>
      </w:rPr>
      <w:drawing>
        <wp:inline distT="0" distB="0" distL="0" distR="0" wp14:anchorId="5AFA1FA2" wp14:editId="489C6B42">
          <wp:extent cx="1005133" cy="504317"/>
          <wp:effectExtent l="0" t="0" r="5080" b="0"/>
          <wp:docPr id="1006984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blue and white logo&#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t="14059" b="21327"/>
                  <a:stretch/>
                </pic:blipFill>
                <pic:spPr bwMode="auto">
                  <a:xfrm>
                    <a:off x="0" y="0"/>
                    <a:ext cx="1005840" cy="504672"/>
                  </a:xfrm>
                  <a:prstGeom prst="rect">
                    <a:avLst/>
                  </a:prstGeom>
                  <a:noFill/>
                  <a:ln>
                    <a:noFill/>
                  </a:ln>
                  <a:extLst>
                    <a:ext uri="{53640926-AAD7-44D8-BBD7-CCE9431645EC}">
                      <a14:shadowObscured xmlns:a14="http://schemas.microsoft.com/office/drawing/2010/main"/>
                    </a:ext>
                  </a:extLst>
                </pic:spPr>
              </pic:pic>
            </a:graphicData>
          </a:graphic>
        </wp:inline>
      </w:drawing>
    </w:r>
  </w:p>
  <w:p w14:paraId="0C7B3D43" w14:textId="77777777" w:rsidR="00FC328B" w:rsidRDefault="00FC3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A87E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508D3E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9AE52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625E9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0A5E1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44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9484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9C7B1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3E69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6C3D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C61FEA"/>
    <w:multiLevelType w:val="hybridMultilevel"/>
    <w:tmpl w:val="FB72044C"/>
    <w:lvl w:ilvl="0" w:tplc="D94026C6">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532FB1"/>
    <w:multiLevelType w:val="multilevel"/>
    <w:tmpl w:val="8F6A4BB0"/>
    <w:lvl w:ilvl="0">
      <w:start w:val="1"/>
      <w:numFmt w:val="decimal"/>
      <w:pStyle w:val="Outline1"/>
      <w:lvlText w:val="%1."/>
      <w:lvlJc w:val="left"/>
      <w:pPr>
        <w:ind w:left="720" w:hanging="720"/>
      </w:pPr>
      <w:rPr>
        <w:rFonts w:hint="default"/>
      </w:rPr>
    </w:lvl>
    <w:lvl w:ilvl="1">
      <w:start w:val="1"/>
      <w:numFmt w:val="lowerLetter"/>
      <w:pStyle w:val="Outline2"/>
      <w:lvlText w:val="(%2)"/>
      <w:lvlJc w:val="left"/>
      <w:pPr>
        <w:ind w:left="1440" w:hanging="720"/>
      </w:pPr>
      <w:rPr>
        <w:rFonts w:hint="default"/>
      </w:rPr>
    </w:lvl>
    <w:lvl w:ilvl="2">
      <w:start w:val="1"/>
      <w:numFmt w:val="lowerRoman"/>
      <w:pStyle w:val="Outline3"/>
      <w:lvlText w:val="(%3)"/>
      <w:lvlJc w:val="left"/>
      <w:pPr>
        <w:ind w:left="2160" w:hanging="720"/>
      </w:pPr>
      <w:rPr>
        <w:rFonts w:hint="default"/>
      </w:rPr>
    </w:lvl>
    <w:lvl w:ilvl="3">
      <w:start w:val="1"/>
      <w:numFmt w:val="upperLetter"/>
      <w:pStyle w:val="Outline4"/>
      <w:lvlText w:val="(%4)"/>
      <w:lvlJc w:val="left"/>
      <w:pPr>
        <w:ind w:left="2880" w:hanging="720"/>
      </w:pPr>
      <w:rPr>
        <w:rFonts w:hint="default"/>
      </w:rPr>
    </w:lvl>
    <w:lvl w:ilvl="4">
      <w:start w:val="1"/>
      <w:numFmt w:val="upperRoman"/>
      <w:pStyle w:val="Outline5"/>
      <w:lvlText w:val="(%5)"/>
      <w:lvlJc w:val="left"/>
      <w:pPr>
        <w:ind w:left="3600" w:hanging="720"/>
      </w:pPr>
      <w:rPr>
        <w:rFonts w:hint="default"/>
      </w:rPr>
    </w:lvl>
    <w:lvl w:ilvl="5">
      <w:start w:val="1"/>
      <w:numFmt w:val="decimal"/>
      <w:pStyle w:val="Outline6"/>
      <w:lvlText w:val="(%6)"/>
      <w:lvlJc w:val="left"/>
      <w:pPr>
        <w:ind w:left="4320" w:hanging="720"/>
      </w:pPr>
      <w:rPr>
        <w:rFonts w:hint="default"/>
      </w:rPr>
    </w:lvl>
    <w:lvl w:ilvl="6">
      <w:start w:val="1"/>
      <w:numFmt w:val="lowerRoman"/>
      <w:pStyle w:val="Outline7"/>
      <w:lvlText w:val="(%7)"/>
      <w:lvlJc w:val="left"/>
      <w:pPr>
        <w:ind w:left="5040" w:hanging="720"/>
      </w:pPr>
      <w:rPr>
        <w:rFonts w:hint="default"/>
      </w:rPr>
    </w:lvl>
    <w:lvl w:ilvl="7">
      <w:start w:val="1"/>
      <w:numFmt w:val="upperLetter"/>
      <w:pStyle w:val="Outline8"/>
      <w:lvlText w:val="(%8)"/>
      <w:lvlJc w:val="left"/>
      <w:pPr>
        <w:ind w:left="5760" w:hanging="720"/>
      </w:pPr>
      <w:rPr>
        <w:rFonts w:hint="default"/>
      </w:rPr>
    </w:lvl>
    <w:lvl w:ilvl="8">
      <w:start w:val="1"/>
      <w:numFmt w:val="upperRoman"/>
      <w:pStyle w:val="Outline9"/>
      <w:lvlText w:val="(%9)"/>
      <w:lvlJc w:val="left"/>
      <w:pPr>
        <w:ind w:left="6480" w:hanging="720"/>
      </w:pPr>
      <w:rPr>
        <w:rFonts w:hint="default"/>
      </w:rPr>
    </w:lvl>
  </w:abstractNum>
  <w:num w:numId="1" w16cid:durableId="1634363119">
    <w:abstractNumId w:val="9"/>
  </w:num>
  <w:num w:numId="2" w16cid:durableId="284891932">
    <w:abstractNumId w:val="7"/>
  </w:num>
  <w:num w:numId="3" w16cid:durableId="923732749">
    <w:abstractNumId w:val="6"/>
  </w:num>
  <w:num w:numId="4" w16cid:durableId="1608538130">
    <w:abstractNumId w:val="5"/>
  </w:num>
  <w:num w:numId="5" w16cid:durableId="1379745801">
    <w:abstractNumId w:val="4"/>
  </w:num>
  <w:num w:numId="6" w16cid:durableId="101801112">
    <w:abstractNumId w:val="8"/>
  </w:num>
  <w:num w:numId="7" w16cid:durableId="385371116">
    <w:abstractNumId w:val="3"/>
  </w:num>
  <w:num w:numId="8" w16cid:durableId="468788466">
    <w:abstractNumId w:val="2"/>
  </w:num>
  <w:num w:numId="9" w16cid:durableId="612711258">
    <w:abstractNumId w:val="1"/>
  </w:num>
  <w:num w:numId="10" w16cid:durableId="500780149">
    <w:abstractNumId w:val="0"/>
  </w:num>
  <w:num w:numId="11" w16cid:durableId="240606684">
    <w:abstractNumId w:val="11"/>
  </w:num>
  <w:num w:numId="12" w16cid:durableId="1782724595">
    <w:abstractNumId w:val="11"/>
  </w:num>
  <w:num w:numId="13" w16cid:durableId="722216901">
    <w:abstractNumId w:val="11"/>
  </w:num>
  <w:num w:numId="14" w16cid:durableId="1710110998">
    <w:abstractNumId w:val="11"/>
  </w:num>
  <w:num w:numId="15" w16cid:durableId="1018041092">
    <w:abstractNumId w:val="11"/>
  </w:num>
  <w:num w:numId="16" w16cid:durableId="1272857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AB"/>
    <w:rsid w:val="00011F46"/>
    <w:rsid w:val="00024475"/>
    <w:rsid w:val="00040956"/>
    <w:rsid w:val="000411E8"/>
    <w:rsid w:val="00041E39"/>
    <w:rsid w:val="00042A5F"/>
    <w:rsid w:val="0004597D"/>
    <w:rsid w:val="00045D56"/>
    <w:rsid w:val="00051277"/>
    <w:rsid w:val="00056458"/>
    <w:rsid w:val="0005687B"/>
    <w:rsid w:val="000621C5"/>
    <w:rsid w:val="00073FD4"/>
    <w:rsid w:val="00081F93"/>
    <w:rsid w:val="000920CF"/>
    <w:rsid w:val="000A082C"/>
    <w:rsid w:val="000A3232"/>
    <w:rsid w:val="000A4BF0"/>
    <w:rsid w:val="000B602E"/>
    <w:rsid w:val="000D0197"/>
    <w:rsid w:val="000D2F1A"/>
    <w:rsid w:val="000D5D17"/>
    <w:rsid w:val="000D7D96"/>
    <w:rsid w:val="000E0BA7"/>
    <w:rsid w:val="000E3646"/>
    <w:rsid w:val="000E580D"/>
    <w:rsid w:val="000F553F"/>
    <w:rsid w:val="00111BE0"/>
    <w:rsid w:val="001257DB"/>
    <w:rsid w:val="00130E7A"/>
    <w:rsid w:val="0013540C"/>
    <w:rsid w:val="0013667A"/>
    <w:rsid w:val="00136732"/>
    <w:rsid w:val="00136CC4"/>
    <w:rsid w:val="00156E1A"/>
    <w:rsid w:val="001709A0"/>
    <w:rsid w:val="001736B3"/>
    <w:rsid w:val="00174E39"/>
    <w:rsid w:val="00175F2A"/>
    <w:rsid w:val="001808C7"/>
    <w:rsid w:val="00186FDA"/>
    <w:rsid w:val="0018734C"/>
    <w:rsid w:val="00196E54"/>
    <w:rsid w:val="001A4ABA"/>
    <w:rsid w:val="001B0D58"/>
    <w:rsid w:val="001B1F77"/>
    <w:rsid w:val="001B2D1B"/>
    <w:rsid w:val="001B69C2"/>
    <w:rsid w:val="001C7C08"/>
    <w:rsid w:val="001D2492"/>
    <w:rsid w:val="001F3BAB"/>
    <w:rsid w:val="001F6206"/>
    <w:rsid w:val="00201C6C"/>
    <w:rsid w:val="002055F4"/>
    <w:rsid w:val="002056CD"/>
    <w:rsid w:val="00206A33"/>
    <w:rsid w:val="00207BE4"/>
    <w:rsid w:val="002138F6"/>
    <w:rsid w:val="00214D13"/>
    <w:rsid w:val="00236B28"/>
    <w:rsid w:val="00246CF7"/>
    <w:rsid w:val="00251C0E"/>
    <w:rsid w:val="00255F8C"/>
    <w:rsid w:val="00264E69"/>
    <w:rsid w:val="002655A3"/>
    <w:rsid w:val="00266452"/>
    <w:rsid w:val="00271697"/>
    <w:rsid w:val="00273D7E"/>
    <w:rsid w:val="00281E2D"/>
    <w:rsid w:val="00286062"/>
    <w:rsid w:val="002B065F"/>
    <w:rsid w:val="002C183D"/>
    <w:rsid w:val="002C460B"/>
    <w:rsid w:val="002D09A9"/>
    <w:rsid w:val="002D52C7"/>
    <w:rsid w:val="002D5D49"/>
    <w:rsid w:val="002E0177"/>
    <w:rsid w:val="002E0F47"/>
    <w:rsid w:val="002E6F5E"/>
    <w:rsid w:val="002F165B"/>
    <w:rsid w:val="002F1E59"/>
    <w:rsid w:val="002F2633"/>
    <w:rsid w:val="002F665B"/>
    <w:rsid w:val="00312373"/>
    <w:rsid w:val="003309DE"/>
    <w:rsid w:val="00331C6B"/>
    <w:rsid w:val="003325A9"/>
    <w:rsid w:val="00347034"/>
    <w:rsid w:val="00354273"/>
    <w:rsid w:val="003552B1"/>
    <w:rsid w:val="003560DA"/>
    <w:rsid w:val="003572B6"/>
    <w:rsid w:val="00386BA2"/>
    <w:rsid w:val="00390B84"/>
    <w:rsid w:val="0039248E"/>
    <w:rsid w:val="003A5547"/>
    <w:rsid w:val="003A68DB"/>
    <w:rsid w:val="003B5B71"/>
    <w:rsid w:val="003B653C"/>
    <w:rsid w:val="003C742C"/>
    <w:rsid w:val="003D2E8B"/>
    <w:rsid w:val="003D3FFC"/>
    <w:rsid w:val="003E2938"/>
    <w:rsid w:val="003E72E0"/>
    <w:rsid w:val="003F6303"/>
    <w:rsid w:val="003F78DE"/>
    <w:rsid w:val="00413702"/>
    <w:rsid w:val="0042255C"/>
    <w:rsid w:val="004362FB"/>
    <w:rsid w:val="0044289B"/>
    <w:rsid w:val="00466DEB"/>
    <w:rsid w:val="00471AEB"/>
    <w:rsid w:val="004724F7"/>
    <w:rsid w:val="00477840"/>
    <w:rsid w:val="0048057B"/>
    <w:rsid w:val="00482A54"/>
    <w:rsid w:val="00484B6B"/>
    <w:rsid w:val="00486279"/>
    <w:rsid w:val="004A4B2E"/>
    <w:rsid w:val="004A5349"/>
    <w:rsid w:val="004A6F15"/>
    <w:rsid w:val="004B2F7C"/>
    <w:rsid w:val="004C1EEF"/>
    <w:rsid w:val="004C3116"/>
    <w:rsid w:val="004C6C6B"/>
    <w:rsid w:val="004C7ECE"/>
    <w:rsid w:val="004E24F5"/>
    <w:rsid w:val="004E2B3D"/>
    <w:rsid w:val="004E5CF1"/>
    <w:rsid w:val="004E6AD9"/>
    <w:rsid w:val="004E7257"/>
    <w:rsid w:val="004F0A37"/>
    <w:rsid w:val="004F11D0"/>
    <w:rsid w:val="004F33C3"/>
    <w:rsid w:val="005032CB"/>
    <w:rsid w:val="00514F6D"/>
    <w:rsid w:val="00515330"/>
    <w:rsid w:val="00520302"/>
    <w:rsid w:val="00554EE9"/>
    <w:rsid w:val="00564101"/>
    <w:rsid w:val="0056637A"/>
    <w:rsid w:val="00570893"/>
    <w:rsid w:val="005753B0"/>
    <w:rsid w:val="00581FBC"/>
    <w:rsid w:val="00582B4C"/>
    <w:rsid w:val="00582BF8"/>
    <w:rsid w:val="00583223"/>
    <w:rsid w:val="00586D68"/>
    <w:rsid w:val="00594277"/>
    <w:rsid w:val="005A37CF"/>
    <w:rsid w:val="005A5664"/>
    <w:rsid w:val="005A73FF"/>
    <w:rsid w:val="005B19E8"/>
    <w:rsid w:val="005B1BF0"/>
    <w:rsid w:val="005B6D7A"/>
    <w:rsid w:val="005C0A8C"/>
    <w:rsid w:val="005C31D9"/>
    <w:rsid w:val="005D1782"/>
    <w:rsid w:val="005E314B"/>
    <w:rsid w:val="005F1C82"/>
    <w:rsid w:val="005F3FEE"/>
    <w:rsid w:val="005F7D50"/>
    <w:rsid w:val="006006A4"/>
    <w:rsid w:val="006014F7"/>
    <w:rsid w:val="0060585A"/>
    <w:rsid w:val="00610067"/>
    <w:rsid w:val="0061761D"/>
    <w:rsid w:val="00622A8E"/>
    <w:rsid w:val="00627058"/>
    <w:rsid w:val="00632651"/>
    <w:rsid w:val="00633D68"/>
    <w:rsid w:val="00650465"/>
    <w:rsid w:val="00654BBA"/>
    <w:rsid w:val="00665A45"/>
    <w:rsid w:val="00666852"/>
    <w:rsid w:val="00670CA3"/>
    <w:rsid w:val="00673A15"/>
    <w:rsid w:val="006811E9"/>
    <w:rsid w:val="00683B66"/>
    <w:rsid w:val="00685714"/>
    <w:rsid w:val="006B1C7B"/>
    <w:rsid w:val="006B72FB"/>
    <w:rsid w:val="006C75AB"/>
    <w:rsid w:val="006E04F9"/>
    <w:rsid w:val="006F214F"/>
    <w:rsid w:val="006F295B"/>
    <w:rsid w:val="006F6987"/>
    <w:rsid w:val="006F70C0"/>
    <w:rsid w:val="0070580F"/>
    <w:rsid w:val="00706AD0"/>
    <w:rsid w:val="00707428"/>
    <w:rsid w:val="00713F50"/>
    <w:rsid w:val="00723C7A"/>
    <w:rsid w:val="00730025"/>
    <w:rsid w:val="0075158D"/>
    <w:rsid w:val="00755CB0"/>
    <w:rsid w:val="00780063"/>
    <w:rsid w:val="007842C7"/>
    <w:rsid w:val="00786126"/>
    <w:rsid w:val="007937F6"/>
    <w:rsid w:val="007A0C20"/>
    <w:rsid w:val="007A1405"/>
    <w:rsid w:val="007A2183"/>
    <w:rsid w:val="007A663B"/>
    <w:rsid w:val="007A7308"/>
    <w:rsid w:val="007B0AF6"/>
    <w:rsid w:val="007B2582"/>
    <w:rsid w:val="007B64A1"/>
    <w:rsid w:val="007C0D4C"/>
    <w:rsid w:val="007C30AC"/>
    <w:rsid w:val="007D632A"/>
    <w:rsid w:val="007E4889"/>
    <w:rsid w:val="007E68E8"/>
    <w:rsid w:val="007F29E3"/>
    <w:rsid w:val="00803C82"/>
    <w:rsid w:val="00805362"/>
    <w:rsid w:val="00806BDB"/>
    <w:rsid w:val="00811F2B"/>
    <w:rsid w:val="00813D5B"/>
    <w:rsid w:val="008219E2"/>
    <w:rsid w:val="00826E94"/>
    <w:rsid w:val="00832E50"/>
    <w:rsid w:val="00835250"/>
    <w:rsid w:val="00840D2E"/>
    <w:rsid w:val="00846019"/>
    <w:rsid w:val="00847325"/>
    <w:rsid w:val="008607B9"/>
    <w:rsid w:val="00862881"/>
    <w:rsid w:val="008965DB"/>
    <w:rsid w:val="008A4265"/>
    <w:rsid w:val="008B0133"/>
    <w:rsid w:val="008C2BDF"/>
    <w:rsid w:val="008D288B"/>
    <w:rsid w:val="008D295C"/>
    <w:rsid w:val="008D4769"/>
    <w:rsid w:val="008D4CD6"/>
    <w:rsid w:val="008E157C"/>
    <w:rsid w:val="008E1A35"/>
    <w:rsid w:val="008F12AB"/>
    <w:rsid w:val="008F4C82"/>
    <w:rsid w:val="008F692F"/>
    <w:rsid w:val="00900D41"/>
    <w:rsid w:val="00904969"/>
    <w:rsid w:val="0091386D"/>
    <w:rsid w:val="0092759E"/>
    <w:rsid w:val="00930C84"/>
    <w:rsid w:val="0093241B"/>
    <w:rsid w:val="00935908"/>
    <w:rsid w:val="00936429"/>
    <w:rsid w:val="0095578A"/>
    <w:rsid w:val="00960DBB"/>
    <w:rsid w:val="00964FF1"/>
    <w:rsid w:val="00971789"/>
    <w:rsid w:val="00971823"/>
    <w:rsid w:val="00982837"/>
    <w:rsid w:val="009B05E9"/>
    <w:rsid w:val="009B2414"/>
    <w:rsid w:val="009B6ABC"/>
    <w:rsid w:val="009C0E5F"/>
    <w:rsid w:val="009C2098"/>
    <w:rsid w:val="009C68D8"/>
    <w:rsid w:val="009D3996"/>
    <w:rsid w:val="009E192E"/>
    <w:rsid w:val="009E5697"/>
    <w:rsid w:val="009E7F6C"/>
    <w:rsid w:val="009F1288"/>
    <w:rsid w:val="009F3572"/>
    <w:rsid w:val="009F79AF"/>
    <w:rsid w:val="00A0431F"/>
    <w:rsid w:val="00A060E9"/>
    <w:rsid w:val="00A141CB"/>
    <w:rsid w:val="00A22058"/>
    <w:rsid w:val="00A24BF6"/>
    <w:rsid w:val="00A43960"/>
    <w:rsid w:val="00A52508"/>
    <w:rsid w:val="00A6111D"/>
    <w:rsid w:val="00A65FCA"/>
    <w:rsid w:val="00A743BF"/>
    <w:rsid w:val="00A80B9B"/>
    <w:rsid w:val="00A80F29"/>
    <w:rsid w:val="00A81E22"/>
    <w:rsid w:val="00A85DAA"/>
    <w:rsid w:val="00A86057"/>
    <w:rsid w:val="00A873A8"/>
    <w:rsid w:val="00A93999"/>
    <w:rsid w:val="00A9683B"/>
    <w:rsid w:val="00A97A1E"/>
    <w:rsid w:val="00AA4010"/>
    <w:rsid w:val="00AB49FE"/>
    <w:rsid w:val="00AC560B"/>
    <w:rsid w:val="00AD1F17"/>
    <w:rsid w:val="00AE3E21"/>
    <w:rsid w:val="00AE546F"/>
    <w:rsid w:val="00AE648B"/>
    <w:rsid w:val="00B201EB"/>
    <w:rsid w:val="00B4334A"/>
    <w:rsid w:val="00B439D8"/>
    <w:rsid w:val="00B45CF4"/>
    <w:rsid w:val="00B47DBA"/>
    <w:rsid w:val="00B51B7A"/>
    <w:rsid w:val="00B76D60"/>
    <w:rsid w:val="00B814BE"/>
    <w:rsid w:val="00B8188D"/>
    <w:rsid w:val="00B903E1"/>
    <w:rsid w:val="00B9451D"/>
    <w:rsid w:val="00BA338D"/>
    <w:rsid w:val="00BA4379"/>
    <w:rsid w:val="00BA5464"/>
    <w:rsid w:val="00BA7809"/>
    <w:rsid w:val="00BB294F"/>
    <w:rsid w:val="00BB481E"/>
    <w:rsid w:val="00BB666E"/>
    <w:rsid w:val="00BC0977"/>
    <w:rsid w:val="00BD0F86"/>
    <w:rsid w:val="00BF05AF"/>
    <w:rsid w:val="00BF068E"/>
    <w:rsid w:val="00C05A3F"/>
    <w:rsid w:val="00C2471B"/>
    <w:rsid w:val="00C31BD4"/>
    <w:rsid w:val="00C336A4"/>
    <w:rsid w:val="00C35A1D"/>
    <w:rsid w:val="00C36628"/>
    <w:rsid w:val="00C4451D"/>
    <w:rsid w:val="00C46FF8"/>
    <w:rsid w:val="00C579D7"/>
    <w:rsid w:val="00C627C5"/>
    <w:rsid w:val="00C67DD8"/>
    <w:rsid w:val="00C82F9F"/>
    <w:rsid w:val="00C97FEF"/>
    <w:rsid w:val="00CB31A2"/>
    <w:rsid w:val="00CB713F"/>
    <w:rsid w:val="00CC7908"/>
    <w:rsid w:val="00CC7E87"/>
    <w:rsid w:val="00CD4260"/>
    <w:rsid w:val="00CD5D42"/>
    <w:rsid w:val="00CE1FB7"/>
    <w:rsid w:val="00CF3970"/>
    <w:rsid w:val="00D00E6A"/>
    <w:rsid w:val="00D03156"/>
    <w:rsid w:val="00D03EC5"/>
    <w:rsid w:val="00D04E19"/>
    <w:rsid w:val="00D13EA3"/>
    <w:rsid w:val="00D21774"/>
    <w:rsid w:val="00D21D21"/>
    <w:rsid w:val="00D23233"/>
    <w:rsid w:val="00D2336A"/>
    <w:rsid w:val="00D40DEC"/>
    <w:rsid w:val="00D42853"/>
    <w:rsid w:val="00D45879"/>
    <w:rsid w:val="00D61EAB"/>
    <w:rsid w:val="00D71006"/>
    <w:rsid w:val="00D73EA1"/>
    <w:rsid w:val="00D74455"/>
    <w:rsid w:val="00D9665F"/>
    <w:rsid w:val="00DA206A"/>
    <w:rsid w:val="00DA365D"/>
    <w:rsid w:val="00DA5F6C"/>
    <w:rsid w:val="00DC39CE"/>
    <w:rsid w:val="00DD0893"/>
    <w:rsid w:val="00DD52AC"/>
    <w:rsid w:val="00DD7DE6"/>
    <w:rsid w:val="00DE09BD"/>
    <w:rsid w:val="00DE41E7"/>
    <w:rsid w:val="00DF34A0"/>
    <w:rsid w:val="00E00B87"/>
    <w:rsid w:val="00E22B21"/>
    <w:rsid w:val="00E306F5"/>
    <w:rsid w:val="00E365A5"/>
    <w:rsid w:val="00E44361"/>
    <w:rsid w:val="00E443C6"/>
    <w:rsid w:val="00E46C5A"/>
    <w:rsid w:val="00E607F1"/>
    <w:rsid w:val="00E65C34"/>
    <w:rsid w:val="00E708B4"/>
    <w:rsid w:val="00E73CD2"/>
    <w:rsid w:val="00E818AE"/>
    <w:rsid w:val="00E82094"/>
    <w:rsid w:val="00E84EF6"/>
    <w:rsid w:val="00E85FA9"/>
    <w:rsid w:val="00E95457"/>
    <w:rsid w:val="00EA1BF2"/>
    <w:rsid w:val="00EB4091"/>
    <w:rsid w:val="00EB5992"/>
    <w:rsid w:val="00EC02D3"/>
    <w:rsid w:val="00EC164D"/>
    <w:rsid w:val="00EC458B"/>
    <w:rsid w:val="00EC7380"/>
    <w:rsid w:val="00ED3AA0"/>
    <w:rsid w:val="00EE1219"/>
    <w:rsid w:val="00EF2412"/>
    <w:rsid w:val="00EF3ACC"/>
    <w:rsid w:val="00EF556B"/>
    <w:rsid w:val="00EF5753"/>
    <w:rsid w:val="00EF5B12"/>
    <w:rsid w:val="00F0090B"/>
    <w:rsid w:val="00F04B4C"/>
    <w:rsid w:val="00F10DEA"/>
    <w:rsid w:val="00F13CF7"/>
    <w:rsid w:val="00F150A4"/>
    <w:rsid w:val="00F151BE"/>
    <w:rsid w:val="00F20102"/>
    <w:rsid w:val="00F309DF"/>
    <w:rsid w:val="00F33A79"/>
    <w:rsid w:val="00F34A63"/>
    <w:rsid w:val="00F51A8D"/>
    <w:rsid w:val="00F530B9"/>
    <w:rsid w:val="00F53D4C"/>
    <w:rsid w:val="00F676BE"/>
    <w:rsid w:val="00F7115C"/>
    <w:rsid w:val="00F73A3C"/>
    <w:rsid w:val="00F8179B"/>
    <w:rsid w:val="00F82E50"/>
    <w:rsid w:val="00F8394E"/>
    <w:rsid w:val="00F921ED"/>
    <w:rsid w:val="00F96CD2"/>
    <w:rsid w:val="00FB0332"/>
    <w:rsid w:val="00FC2354"/>
    <w:rsid w:val="00FC328B"/>
    <w:rsid w:val="00FC3B51"/>
    <w:rsid w:val="00FE6BAC"/>
    <w:rsid w:val="00FF3DDD"/>
    <w:rsid w:val="00FF5BCB"/>
    <w:rsid w:val="00FF67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8320D"/>
  <w15:chartTrackingRefBased/>
  <w15:docId w15:val="{54D29DB8-B290-4FC9-8B98-D59F96E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7A"/>
    <w:pPr>
      <w:jc w:val="both"/>
    </w:pPr>
    <w:rPr>
      <w:color w:val="auto"/>
      <w:sz w:val="21"/>
    </w:rPr>
  </w:style>
  <w:style w:type="paragraph" w:styleId="Heading1">
    <w:name w:val="heading 1"/>
    <w:basedOn w:val="Normal"/>
    <w:next w:val="BodyText"/>
    <w:link w:val="Heading1Char"/>
    <w:uiPriority w:val="2"/>
    <w:qFormat/>
    <w:rsid w:val="00B201EB"/>
    <w:pPr>
      <w:keepNext/>
      <w:keepLines/>
      <w:outlineLvl w:val="0"/>
    </w:pPr>
    <w:rPr>
      <w:rFonts w:eastAsiaTheme="majorEastAsia" w:cstheme="majorBidi"/>
      <w:b/>
      <w:szCs w:val="32"/>
    </w:rPr>
  </w:style>
  <w:style w:type="paragraph" w:styleId="Heading2">
    <w:name w:val="heading 2"/>
    <w:basedOn w:val="Normal"/>
    <w:next w:val="BodyText"/>
    <w:link w:val="Heading2Char"/>
    <w:uiPriority w:val="3"/>
    <w:qFormat/>
    <w:rsid w:val="00B201EB"/>
    <w:pPr>
      <w:keepNext/>
      <w:keepLines/>
      <w:outlineLvl w:val="1"/>
    </w:pPr>
    <w:rPr>
      <w:szCs w:val="26"/>
    </w:rPr>
  </w:style>
  <w:style w:type="paragraph" w:styleId="Heading3">
    <w:name w:val="heading 3"/>
    <w:basedOn w:val="Normal"/>
    <w:next w:val="BodyText"/>
    <w:link w:val="Heading3Char"/>
    <w:uiPriority w:val="4"/>
    <w:qFormat/>
    <w:rsid w:val="00B201EB"/>
    <w:pPr>
      <w:outlineLvl w:val="2"/>
    </w:pPr>
    <w:rPr>
      <w:szCs w:val="24"/>
    </w:rPr>
  </w:style>
  <w:style w:type="paragraph" w:styleId="Heading4">
    <w:name w:val="heading 4"/>
    <w:basedOn w:val="Normal"/>
    <w:next w:val="BodyText"/>
    <w:link w:val="Heading4Char"/>
    <w:uiPriority w:val="5"/>
    <w:qFormat/>
    <w:rsid w:val="00B201EB"/>
    <w:pPr>
      <w:outlineLvl w:val="3"/>
    </w:pPr>
    <w:rPr>
      <w:iCs/>
    </w:rPr>
  </w:style>
  <w:style w:type="paragraph" w:styleId="Heading5">
    <w:name w:val="heading 5"/>
    <w:basedOn w:val="Normal"/>
    <w:next w:val="BodyText"/>
    <w:link w:val="Heading5Char"/>
    <w:uiPriority w:val="9"/>
    <w:unhideWhenUsed/>
    <w:qFormat/>
    <w:rsid w:val="00B201EB"/>
    <w:pPr>
      <w:outlineLvl w:val="4"/>
    </w:pPr>
  </w:style>
  <w:style w:type="paragraph" w:styleId="Heading6">
    <w:name w:val="heading 6"/>
    <w:basedOn w:val="Normal"/>
    <w:next w:val="BodyText"/>
    <w:link w:val="Heading6Char"/>
    <w:uiPriority w:val="9"/>
    <w:unhideWhenUsed/>
    <w:qFormat/>
    <w:rsid w:val="00B201EB"/>
    <w:pPr>
      <w:outlineLvl w:val="5"/>
    </w:pPr>
  </w:style>
  <w:style w:type="paragraph" w:styleId="Heading7">
    <w:name w:val="heading 7"/>
    <w:basedOn w:val="Normal"/>
    <w:next w:val="BodyText"/>
    <w:link w:val="Heading7Char"/>
    <w:uiPriority w:val="9"/>
    <w:unhideWhenUsed/>
    <w:qFormat/>
    <w:rsid w:val="00B201EB"/>
    <w:pPr>
      <w:outlineLvl w:val="6"/>
    </w:pPr>
    <w:rPr>
      <w:iCs/>
    </w:rPr>
  </w:style>
  <w:style w:type="paragraph" w:styleId="Heading8">
    <w:name w:val="heading 8"/>
    <w:basedOn w:val="Normal"/>
    <w:next w:val="BodyText"/>
    <w:link w:val="Heading8Char"/>
    <w:uiPriority w:val="9"/>
    <w:semiHidden/>
    <w:unhideWhenUsed/>
    <w:qFormat/>
    <w:rsid w:val="00B201EB"/>
    <w:pPr>
      <w:outlineLvl w:val="7"/>
    </w:pPr>
    <w:rPr>
      <w:color w:val="272727" w:themeColor="text1" w:themeTint="D8"/>
    </w:rPr>
  </w:style>
  <w:style w:type="paragraph" w:styleId="Heading9">
    <w:name w:val="heading 9"/>
    <w:basedOn w:val="Normal"/>
    <w:next w:val="BodyText"/>
    <w:link w:val="Heading9Char"/>
    <w:uiPriority w:val="9"/>
    <w:semiHidden/>
    <w:unhideWhenUsed/>
    <w:qFormat/>
    <w:rsid w:val="00FC328B"/>
    <w:pPr>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9C68D8"/>
  </w:style>
  <w:style w:type="character" w:customStyle="1" w:styleId="BodyTextChar">
    <w:name w:val="Body Text Char"/>
    <w:basedOn w:val="DefaultParagraphFont"/>
    <w:link w:val="BodyText"/>
    <w:uiPriority w:val="1"/>
    <w:rsid w:val="009C68D8"/>
    <w:rPr>
      <w:color w:val="auto"/>
      <w:sz w:val="21"/>
    </w:rPr>
  </w:style>
  <w:style w:type="paragraph" w:styleId="BodyTextFirstIndent">
    <w:name w:val="Body Text First Indent"/>
    <w:basedOn w:val="Normal"/>
    <w:link w:val="BodyTextFirstIndentChar"/>
    <w:uiPriority w:val="99"/>
    <w:unhideWhenUsed/>
    <w:rsid w:val="00FC328B"/>
    <w:pPr>
      <w:ind w:firstLine="720"/>
    </w:pPr>
  </w:style>
  <w:style w:type="character" w:customStyle="1" w:styleId="BodyTextFirstIndentChar">
    <w:name w:val="Body Text First Indent Char"/>
    <w:basedOn w:val="BodyTextChar"/>
    <w:link w:val="BodyTextFirstIndent"/>
    <w:uiPriority w:val="99"/>
    <w:rsid w:val="00FC328B"/>
    <w:rPr>
      <w:color w:val="auto"/>
      <w:sz w:val="21"/>
    </w:rPr>
  </w:style>
  <w:style w:type="paragraph" w:styleId="ListNumber2">
    <w:name w:val="List Number 2"/>
    <w:basedOn w:val="Normal"/>
    <w:uiPriority w:val="99"/>
    <w:unhideWhenUsed/>
    <w:rsid w:val="00811F2B"/>
    <w:pPr>
      <w:numPr>
        <w:numId w:val="7"/>
      </w:numPr>
      <w:tabs>
        <w:tab w:val="clear" w:pos="720"/>
      </w:tabs>
      <w:ind w:left="1440" w:hanging="720"/>
    </w:pPr>
  </w:style>
  <w:style w:type="paragraph" w:styleId="BodyTextIndent">
    <w:name w:val="Body Text Indent"/>
    <w:basedOn w:val="Normal"/>
    <w:link w:val="BodyTextIndentChar"/>
    <w:uiPriority w:val="99"/>
    <w:semiHidden/>
    <w:unhideWhenUsed/>
    <w:rsid w:val="00F8179B"/>
    <w:pPr>
      <w:ind w:left="720"/>
    </w:pPr>
  </w:style>
  <w:style w:type="character" w:customStyle="1" w:styleId="BodyTextIndentChar">
    <w:name w:val="Body Text Indent Char"/>
    <w:basedOn w:val="DefaultParagraphFont"/>
    <w:link w:val="BodyTextIndent"/>
    <w:uiPriority w:val="99"/>
    <w:semiHidden/>
    <w:rsid w:val="00F8179B"/>
    <w:rPr>
      <w:color w:val="auto"/>
      <w:sz w:val="20"/>
    </w:rPr>
  </w:style>
  <w:style w:type="paragraph" w:styleId="BodyTextFirstIndent2">
    <w:name w:val="Body Text First Indent 2"/>
    <w:basedOn w:val="Normal"/>
    <w:link w:val="BodyTextFirstIndent2Char"/>
    <w:uiPriority w:val="99"/>
    <w:rsid w:val="00F8179B"/>
    <w:pPr>
      <w:ind w:left="1440"/>
    </w:pPr>
  </w:style>
  <w:style w:type="character" w:customStyle="1" w:styleId="BodyTextFirstIndent2Char">
    <w:name w:val="Body Text First Indent 2 Char"/>
    <w:basedOn w:val="BodyTextIndentChar"/>
    <w:link w:val="BodyTextFirstIndent2"/>
    <w:uiPriority w:val="99"/>
    <w:rsid w:val="00E84EF6"/>
    <w:rPr>
      <w:color w:val="auto"/>
      <w:sz w:val="20"/>
    </w:rPr>
  </w:style>
  <w:style w:type="paragraph" w:styleId="TOC1">
    <w:name w:val="toc 1"/>
    <w:basedOn w:val="Normal"/>
    <w:next w:val="Normal"/>
    <w:autoRedefine/>
    <w:uiPriority w:val="39"/>
    <w:unhideWhenUsed/>
    <w:rsid w:val="00811F2B"/>
    <w:pPr>
      <w:tabs>
        <w:tab w:val="right" w:leader="hyphen" w:pos="9360"/>
      </w:tabs>
      <w:spacing w:before="120" w:after="0"/>
    </w:pPr>
    <w:rPr>
      <w:b/>
    </w:rPr>
  </w:style>
  <w:style w:type="paragraph" w:styleId="ListNumber">
    <w:name w:val="List Number"/>
    <w:basedOn w:val="Normal"/>
    <w:uiPriority w:val="99"/>
    <w:unhideWhenUsed/>
    <w:rsid w:val="00811F2B"/>
    <w:pPr>
      <w:numPr>
        <w:numId w:val="6"/>
      </w:numPr>
      <w:tabs>
        <w:tab w:val="clear" w:pos="360"/>
      </w:tabs>
      <w:ind w:left="720" w:hanging="720"/>
    </w:pPr>
  </w:style>
  <w:style w:type="character" w:customStyle="1" w:styleId="Heading1Char">
    <w:name w:val="Heading 1 Char"/>
    <w:basedOn w:val="DefaultParagraphFont"/>
    <w:link w:val="Heading1"/>
    <w:uiPriority w:val="2"/>
    <w:rsid w:val="00B201EB"/>
    <w:rPr>
      <w:rFonts w:eastAsiaTheme="majorEastAsia" w:cstheme="majorBidi"/>
      <w:b/>
      <w:sz w:val="21"/>
      <w:szCs w:val="32"/>
    </w:rPr>
  </w:style>
  <w:style w:type="paragraph" w:styleId="NormalWeb">
    <w:name w:val="Normal (Web)"/>
    <w:basedOn w:val="Normal"/>
    <w:uiPriority w:val="99"/>
    <w:semiHidden/>
    <w:unhideWhenUsed/>
    <w:rsid w:val="00806BDB"/>
    <w:rPr>
      <w:rFonts w:cs="Times New Roman"/>
      <w:szCs w:val="24"/>
    </w:rPr>
  </w:style>
  <w:style w:type="character" w:styleId="PageNumber">
    <w:name w:val="page number"/>
    <w:basedOn w:val="DefaultParagraphFont"/>
    <w:uiPriority w:val="99"/>
    <w:semiHidden/>
    <w:unhideWhenUsed/>
    <w:rsid w:val="00FC328B"/>
    <w:rPr>
      <w:rFonts w:ascii="Arial" w:hAnsi="Arial"/>
      <w:b w:val="0"/>
      <w:i w:val="0"/>
      <w:caps w:val="0"/>
      <w:smallCaps w:val="0"/>
      <w:strike w:val="0"/>
      <w:dstrike w:val="0"/>
      <w:vanish w:val="0"/>
      <w:color w:val="auto"/>
      <w:sz w:val="21"/>
      <w:vertAlign w:val="baseline"/>
    </w:rPr>
  </w:style>
  <w:style w:type="paragraph" w:styleId="TOC2">
    <w:name w:val="toc 2"/>
    <w:basedOn w:val="Normal"/>
    <w:next w:val="Normal"/>
    <w:autoRedefine/>
    <w:uiPriority w:val="39"/>
    <w:unhideWhenUsed/>
    <w:rsid w:val="00811F2B"/>
    <w:pPr>
      <w:tabs>
        <w:tab w:val="right" w:leader="hyphen" w:pos="9360"/>
      </w:tabs>
      <w:spacing w:before="20" w:after="20"/>
      <w:ind w:left="360"/>
    </w:pPr>
  </w:style>
  <w:style w:type="paragraph" w:styleId="Title">
    <w:name w:val="Title"/>
    <w:basedOn w:val="Normal"/>
    <w:next w:val="Normal"/>
    <w:link w:val="TitleChar"/>
    <w:uiPriority w:val="11"/>
    <w:qFormat/>
    <w:rsid w:val="00FC328B"/>
    <w:pPr>
      <w:jc w:val="center"/>
    </w:pPr>
    <w:rPr>
      <w:rFonts w:eastAsiaTheme="majorEastAsia" w:cstheme="majorBidi"/>
      <w:b/>
      <w:szCs w:val="56"/>
    </w:rPr>
  </w:style>
  <w:style w:type="character" w:customStyle="1" w:styleId="TitleChar">
    <w:name w:val="Title Char"/>
    <w:basedOn w:val="DefaultParagraphFont"/>
    <w:link w:val="Title"/>
    <w:uiPriority w:val="11"/>
    <w:rsid w:val="00FC328B"/>
    <w:rPr>
      <w:rFonts w:eastAsiaTheme="majorEastAsia" w:cstheme="majorBidi"/>
      <w:b/>
      <w:color w:val="auto"/>
      <w:sz w:val="21"/>
      <w:szCs w:val="56"/>
    </w:rPr>
  </w:style>
  <w:style w:type="character" w:styleId="IntenseReference">
    <w:name w:val="Intense Reference"/>
    <w:basedOn w:val="DefaultParagraphFont"/>
    <w:uiPriority w:val="32"/>
    <w:unhideWhenUsed/>
    <w:qFormat/>
    <w:rsid w:val="00806BDB"/>
    <w:rPr>
      <w:rFonts w:ascii="Arial" w:hAnsi="Arial"/>
      <w:b/>
      <w:bCs/>
      <w:caps w:val="0"/>
      <w:smallCaps/>
      <w:strike w:val="0"/>
      <w:dstrike w:val="0"/>
      <w:vanish w:val="0"/>
      <w:color w:val="000000" w:themeColor="text1"/>
      <w:spacing w:val="5"/>
      <w:vertAlign w:val="baseline"/>
    </w:rPr>
  </w:style>
  <w:style w:type="paragraph" w:styleId="TOC5">
    <w:name w:val="toc 5"/>
    <w:basedOn w:val="Normal"/>
    <w:next w:val="Normal"/>
    <w:uiPriority w:val="39"/>
    <w:rsid w:val="001B1F77"/>
    <w:pPr>
      <w:tabs>
        <w:tab w:val="right" w:pos="9360"/>
      </w:tabs>
      <w:spacing w:before="20" w:after="20"/>
      <w:ind w:left="2160"/>
    </w:pPr>
  </w:style>
  <w:style w:type="paragraph" w:styleId="TOCHeading">
    <w:name w:val="TOC Heading"/>
    <w:basedOn w:val="Heading1"/>
    <w:next w:val="Normal"/>
    <w:uiPriority w:val="39"/>
    <w:semiHidden/>
    <w:unhideWhenUsed/>
    <w:qFormat/>
    <w:rsid w:val="00056458"/>
    <w:pPr>
      <w:jc w:val="center"/>
      <w:outlineLvl w:val="9"/>
    </w:pPr>
  </w:style>
  <w:style w:type="paragraph" w:styleId="FootnoteText">
    <w:name w:val="footnote text"/>
    <w:basedOn w:val="Normal"/>
    <w:link w:val="FootnoteTextChar"/>
    <w:uiPriority w:val="99"/>
    <w:unhideWhenUsed/>
    <w:rsid w:val="001B1F77"/>
    <w:pPr>
      <w:spacing w:after="0"/>
    </w:pPr>
    <w:rPr>
      <w:sz w:val="18"/>
    </w:rPr>
  </w:style>
  <w:style w:type="character" w:customStyle="1" w:styleId="FootnoteTextChar">
    <w:name w:val="Footnote Text Char"/>
    <w:basedOn w:val="DefaultParagraphFont"/>
    <w:link w:val="FootnoteText"/>
    <w:uiPriority w:val="99"/>
    <w:rsid w:val="001B1F77"/>
    <w:rPr>
      <w:color w:val="auto"/>
      <w:sz w:val="18"/>
      <w:szCs w:val="20"/>
    </w:rPr>
  </w:style>
  <w:style w:type="paragraph" w:styleId="Quote">
    <w:name w:val="Quote"/>
    <w:basedOn w:val="Normal"/>
    <w:next w:val="Normal"/>
    <w:link w:val="QuoteChar"/>
    <w:uiPriority w:val="10"/>
    <w:qFormat/>
    <w:rsid w:val="00FC328B"/>
    <w:pPr>
      <w:ind w:left="720" w:right="720"/>
      <w:jc w:val="left"/>
    </w:pPr>
    <w:rPr>
      <w:i/>
      <w:iCs/>
    </w:rPr>
  </w:style>
  <w:style w:type="character" w:customStyle="1" w:styleId="QuoteChar">
    <w:name w:val="Quote Char"/>
    <w:basedOn w:val="DefaultParagraphFont"/>
    <w:link w:val="Quote"/>
    <w:uiPriority w:val="10"/>
    <w:rsid w:val="00FC328B"/>
    <w:rPr>
      <w:i/>
      <w:iCs/>
      <w:color w:val="auto"/>
      <w:sz w:val="21"/>
    </w:rPr>
  </w:style>
  <w:style w:type="paragraph" w:styleId="TOC3">
    <w:name w:val="toc 3"/>
    <w:basedOn w:val="Normal"/>
    <w:next w:val="Normal"/>
    <w:autoRedefine/>
    <w:uiPriority w:val="39"/>
    <w:unhideWhenUsed/>
    <w:rsid w:val="001B1F77"/>
    <w:pPr>
      <w:tabs>
        <w:tab w:val="right" w:leader="hyphen" w:pos="9360"/>
      </w:tabs>
      <w:spacing w:before="20" w:after="20"/>
      <w:ind w:left="720"/>
    </w:pPr>
  </w:style>
  <w:style w:type="paragraph" w:styleId="TOC4">
    <w:name w:val="toc 4"/>
    <w:basedOn w:val="Normal"/>
    <w:next w:val="Normal"/>
    <w:autoRedefine/>
    <w:uiPriority w:val="39"/>
    <w:unhideWhenUsed/>
    <w:rsid w:val="001B1F77"/>
    <w:pPr>
      <w:tabs>
        <w:tab w:val="right" w:leader="hyphen" w:pos="9360"/>
      </w:tabs>
      <w:spacing w:before="20" w:after="20"/>
      <w:ind w:left="1440"/>
    </w:pPr>
  </w:style>
  <w:style w:type="paragraph" w:styleId="TOC6">
    <w:name w:val="toc 6"/>
    <w:basedOn w:val="Normal"/>
    <w:next w:val="Normal"/>
    <w:uiPriority w:val="39"/>
    <w:semiHidden/>
    <w:unhideWhenUsed/>
    <w:rsid w:val="00806BDB"/>
    <w:pPr>
      <w:spacing w:after="120"/>
      <w:ind w:left="1008"/>
    </w:pPr>
  </w:style>
  <w:style w:type="paragraph" w:styleId="TOC7">
    <w:name w:val="toc 7"/>
    <w:basedOn w:val="Normal"/>
    <w:next w:val="Normal"/>
    <w:uiPriority w:val="39"/>
    <w:semiHidden/>
    <w:unhideWhenUsed/>
    <w:rsid w:val="00806BDB"/>
    <w:pPr>
      <w:spacing w:after="120"/>
      <w:ind w:left="1152"/>
    </w:pPr>
  </w:style>
  <w:style w:type="paragraph" w:styleId="TOC9">
    <w:name w:val="toc 9"/>
    <w:basedOn w:val="Normal"/>
    <w:next w:val="Normal"/>
    <w:uiPriority w:val="39"/>
    <w:semiHidden/>
    <w:unhideWhenUsed/>
    <w:rsid w:val="00806BDB"/>
    <w:pPr>
      <w:spacing w:after="120"/>
      <w:ind w:left="1440"/>
    </w:pPr>
  </w:style>
  <w:style w:type="paragraph" w:styleId="TOAHeading">
    <w:name w:val="toa heading"/>
    <w:basedOn w:val="Normal"/>
    <w:next w:val="Normal"/>
    <w:uiPriority w:val="99"/>
    <w:semiHidden/>
    <w:unhideWhenUsed/>
    <w:rsid w:val="00811F2B"/>
    <w:pPr>
      <w:jc w:val="center"/>
    </w:pPr>
    <w:rPr>
      <w:rFonts w:eastAsiaTheme="majorEastAsia" w:cstheme="majorBidi"/>
      <w:b/>
      <w:bCs/>
      <w:szCs w:val="24"/>
    </w:rPr>
  </w:style>
  <w:style w:type="character" w:styleId="IntenseEmphasis">
    <w:name w:val="Intense Emphasis"/>
    <w:basedOn w:val="DefaultParagraphFont"/>
    <w:uiPriority w:val="21"/>
    <w:unhideWhenUsed/>
    <w:qFormat/>
    <w:rsid w:val="00806BDB"/>
    <w:rPr>
      <w:i/>
      <w:iCs/>
      <w:color w:val="auto"/>
    </w:rPr>
  </w:style>
  <w:style w:type="paragraph" w:styleId="IntenseQuote">
    <w:name w:val="Intense Quote"/>
    <w:basedOn w:val="Normal"/>
    <w:next w:val="Normal"/>
    <w:link w:val="IntenseQuoteChar"/>
    <w:uiPriority w:val="30"/>
    <w:unhideWhenUsed/>
    <w:qFormat/>
    <w:rsid w:val="00806BDB"/>
    <w:pPr>
      <w:pBdr>
        <w:top w:val="single" w:sz="4" w:space="10" w:color="866D4B" w:themeColor="accent1"/>
        <w:bottom w:val="single" w:sz="4" w:space="10" w:color="866D4B"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0E0BA7"/>
    <w:rPr>
      <w:i/>
      <w:iCs/>
      <w:color w:val="auto"/>
      <w:sz w:val="20"/>
    </w:rPr>
  </w:style>
  <w:style w:type="paragraph" w:styleId="ListNumber3">
    <w:name w:val="List Number 3"/>
    <w:basedOn w:val="Normal"/>
    <w:uiPriority w:val="99"/>
    <w:unhideWhenUsed/>
    <w:rsid w:val="00811F2B"/>
    <w:pPr>
      <w:numPr>
        <w:numId w:val="8"/>
      </w:numPr>
      <w:tabs>
        <w:tab w:val="clear" w:pos="1080"/>
      </w:tabs>
      <w:ind w:left="2160" w:hanging="720"/>
    </w:pPr>
  </w:style>
  <w:style w:type="paragraph" w:styleId="ListNumber4">
    <w:name w:val="List Number 4"/>
    <w:basedOn w:val="Normal"/>
    <w:uiPriority w:val="99"/>
    <w:unhideWhenUsed/>
    <w:rsid w:val="00811F2B"/>
    <w:pPr>
      <w:numPr>
        <w:numId w:val="9"/>
      </w:numPr>
      <w:tabs>
        <w:tab w:val="clear" w:pos="1440"/>
      </w:tabs>
      <w:ind w:left="2880" w:hanging="720"/>
    </w:pPr>
  </w:style>
  <w:style w:type="paragraph" w:styleId="ListNumber5">
    <w:name w:val="List Number 5"/>
    <w:basedOn w:val="Normal"/>
    <w:uiPriority w:val="99"/>
    <w:unhideWhenUsed/>
    <w:rsid w:val="00811F2B"/>
    <w:pPr>
      <w:numPr>
        <w:numId w:val="10"/>
      </w:numPr>
      <w:tabs>
        <w:tab w:val="clear" w:pos="1800"/>
      </w:tabs>
      <w:ind w:left="3600" w:hanging="720"/>
    </w:pPr>
  </w:style>
  <w:style w:type="paragraph" w:styleId="ListBullet">
    <w:name w:val="List Bullet"/>
    <w:basedOn w:val="Normal"/>
    <w:uiPriority w:val="99"/>
    <w:unhideWhenUsed/>
    <w:rsid w:val="004C1EEF"/>
    <w:pPr>
      <w:numPr>
        <w:numId w:val="1"/>
      </w:numPr>
      <w:tabs>
        <w:tab w:val="clear" w:pos="360"/>
      </w:tabs>
      <w:ind w:left="720" w:hanging="720"/>
    </w:pPr>
  </w:style>
  <w:style w:type="paragraph" w:styleId="ListBullet2">
    <w:name w:val="List Bullet 2"/>
    <w:basedOn w:val="Normal"/>
    <w:uiPriority w:val="99"/>
    <w:unhideWhenUsed/>
    <w:rsid w:val="004C1EEF"/>
    <w:pPr>
      <w:numPr>
        <w:numId w:val="2"/>
      </w:numPr>
      <w:tabs>
        <w:tab w:val="clear" w:pos="720"/>
      </w:tabs>
      <w:ind w:left="1440" w:hanging="720"/>
    </w:pPr>
  </w:style>
  <w:style w:type="paragraph" w:styleId="ListBullet3">
    <w:name w:val="List Bullet 3"/>
    <w:basedOn w:val="Normal"/>
    <w:uiPriority w:val="99"/>
    <w:unhideWhenUsed/>
    <w:rsid w:val="004C1EEF"/>
    <w:pPr>
      <w:numPr>
        <w:numId w:val="3"/>
      </w:numPr>
      <w:tabs>
        <w:tab w:val="clear" w:pos="1080"/>
      </w:tabs>
      <w:ind w:left="2160" w:hanging="720"/>
    </w:pPr>
  </w:style>
  <w:style w:type="paragraph" w:styleId="ListBullet4">
    <w:name w:val="List Bullet 4"/>
    <w:basedOn w:val="Normal"/>
    <w:uiPriority w:val="99"/>
    <w:unhideWhenUsed/>
    <w:rsid w:val="004C1EEF"/>
    <w:pPr>
      <w:numPr>
        <w:numId w:val="4"/>
      </w:numPr>
      <w:tabs>
        <w:tab w:val="clear" w:pos="1440"/>
      </w:tabs>
      <w:ind w:left="2880" w:hanging="720"/>
    </w:pPr>
  </w:style>
  <w:style w:type="paragraph" w:styleId="ListBullet5">
    <w:name w:val="List Bullet 5"/>
    <w:basedOn w:val="Normal"/>
    <w:uiPriority w:val="99"/>
    <w:unhideWhenUsed/>
    <w:rsid w:val="004C1EEF"/>
    <w:pPr>
      <w:numPr>
        <w:numId w:val="5"/>
      </w:numPr>
      <w:tabs>
        <w:tab w:val="clear" w:pos="1800"/>
      </w:tabs>
      <w:ind w:left="3600" w:hanging="720"/>
    </w:pPr>
  </w:style>
  <w:style w:type="paragraph" w:styleId="List2">
    <w:name w:val="List 2"/>
    <w:basedOn w:val="Normal"/>
    <w:uiPriority w:val="99"/>
    <w:unhideWhenUsed/>
    <w:rsid w:val="00971823"/>
    <w:pPr>
      <w:ind w:left="720" w:hanging="360"/>
      <w:contextualSpacing/>
    </w:pPr>
  </w:style>
  <w:style w:type="paragraph" w:styleId="List">
    <w:name w:val="List"/>
    <w:basedOn w:val="Normal"/>
    <w:uiPriority w:val="99"/>
    <w:unhideWhenUsed/>
    <w:rsid w:val="00971823"/>
    <w:pPr>
      <w:ind w:left="360" w:hanging="360"/>
      <w:contextualSpacing/>
    </w:pPr>
  </w:style>
  <w:style w:type="character" w:customStyle="1" w:styleId="Heading2Char">
    <w:name w:val="Heading 2 Char"/>
    <w:basedOn w:val="DefaultParagraphFont"/>
    <w:link w:val="Heading2"/>
    <w:uiPriority w:val="3"/>
    <w:rsid w:val="00B201EB"/>
    <w:rPr>
      <w:sz w:val="21"/>
      <w:szCs w:val="26"/>
    </w:rPr>
  </w:style>
  <w:style w:type="character" w:customStyle="1" w:styleId="Heading3Char">
    <w:name w:val="Heading 3 Char"/>
    <w:basedOn w:val="DefaultParagraphFont"/>
    <w:link w:val="Heading3"/>
    <w:uiPriority w:val="4"/>
    <w:rsid w:val="00B201EB"/>
    <w:rPr>
      <w:sz w:val="21"/>
      <w:szCs w:val="24"/>
    </w:rPr>
  </w:style>
  <w:style w:type="character" w:customStyle="1" w:styleId="Heading4Char">
    <w:name w:val="Heading 4 Char"/>
    <w:basedOn w:val="DefaultParagraphFont"/>
    <w:link w:val="Heading4"/>
    <w:uiPriority w:val="5"/>
    <w:rsid w:val="00B201EB"/>
    <w:rPr>
      <w:iCs/>
      <w:sz w:val="21"/>
    </w:rPr>
  </w:style>
  <w:style w:type="character" w:customStyle="1" w:styleId="Heading5Char">
    <w:name w:val="Heading 5 Char"/>
    <w:basedOn w:val="DefaultParagraphFont"/>
    <w:link w:val="Heading5"/>
    <w:uiPriority w:val="9"/>
    <w:rsid w:val="00B201EB"/>
    <w:rPr>
      <w:sz w:val="21"/>
    </w:rPr>
  </w:style>
  <w:style w:type="character" w:customStyle="1" w:styleId="Heading6Char">
    <w:name w:val="Heading 6 Char"/>
    <w:basedOn w:val="DefaultParagraphFont"/>
    <w:link w:val="Heading6"/>
    <w:uiPriority w:val="9"/>
    <w:rsid w:val="00B201EB"/>
    <w:rPr>
      <w:sz w:val="21"/>
    </w:rPr>
  </w:style>
  <w:style w:type="character" w:customStyle="1" w:styleId="Heading7Char">
    <w:name w:val="Heading 7 Char"/>
    <w:basedOn w:val="DefaultParagraphFont"/>
    <w:link w:val="Heading7"/>
    <w:uiPriority w:val="9"/>
    <w:rsid w:val="00B201EB"/>
    <w:rPr>
      <w:iCs/>
      <w:sz w:val="21"/>
    </w:rPr>
  </w:style>
  <w:style w:type="character" w:customStyle="1" w:styleId="Heading8Char">
    <w:name w:val="Heading 8 Char"/>
    <w:basedOn w:val="DefaultParagraphFont"/>
    <w:link w:val="Heading8"/>
    <w:uiPriority w:val="9"/>
    <w:semiHidden/>
    <w:rsid w:val="00B201EB"/>
    <w:rPr>
      <w:color w:val="272727" w:themeColor="text1" w:themeTint="D8"/>
      <w:sz w:val="21"/>
    </w:rPr>
  </w:style>
  <w:style w:type="paragraph" w:styleId="BlockText">
    <w:name w:val="Block Text"/>
    <w:basedOn w:val="Normal"/>
    <w:uiPriority w:val="99"/>
    <w:unhideWhenUsed/>
    <w:rsid w:val="00594277"/>
    <w:pPr>
      <w:pBdr>
        <w:top w:val="single" w:sz="2" w:space="10" w:color="auto"/>
        <w:left w:val="single" w:sz="2" w:space="10" w:color="auto"/>
        <w:bottom w:val="single" w:sz="2" w:space="10" w:color="auto"/>
        <w:right w:val="single" w:sz="2" w:space="10" w:color="auto"/>
      </w:pBdr>
      <w:ind w:left="1440" w:right="1440"/>
    </w:pPr>
    <w:rPr>
      <w:rFonts w:eastAsiaTheme="minorEastAsia"/>
      <w:i/>
      <w:iCs/>
    </w:rPr>
  </w:style>
  <w:style w:type="character" w:styleId="FollowedHyperlink">
    <w:name w:val="FollowedHyperlink"/>
    <w:basedOn w:val="DefaultParagraphFont"/>
    <w:uiPriority w:val="99"/>
    <w:semiHidden/>
    <w:unhideWhenUsed/>
    <w:rsid w:val="00FC328B"/>
    <w:rPr>
      <w:rFonts w:ascii="Arial" w:hAnsi="Arial"/>
      <w:color w:val="auto"/>
      <w:sz w:val="21"/>
      <w:u w:val="single"/>
    </w:rPr>
  </w:style>
  <w:style w:type="paragraph" w:styleId="TableofAuthorities">
    <w:name w:val="table of authorities"/>
    <w:basedOn w:val="Normal"/>
    <w:next w:val="Normal"/>
    <w:uiPriority w:val="99"/>
    <w:semiHidden/>
    <w:unhideWhenUsed/>
    <w:rsid w:val="00056458"/>
    <w:pPr>
      <w:spacing w:after="0"/>
    </w:pPr>
  </w:style>
  <w:style w:type="paragraph" w:styleId="EnvelopeReturn">
    <w:name w:val="envelope return"/>
    <w:basedOn w:val="Normal"/>
    <w:uiPriority w:val="99"/>
    <w:unhideWhenUsed/>
    <w:rsid w:val="001B1F77"/>
    <w:pPr>
      <w:spacing w:after="0"/>
    </w:pPr>
    <w:rPr>
      <w:rFonts w:eastAsiaTheme="majorEastAsia" w:cstheme="majorBidi"/>
      <w:sz w:val="18"/>
    </w:rPr>
  </w:style>
  <w:style w:type="paragraph" w:styleId="BalloonText">
    <w:name w:val="Balloon Text"/>
    <w:basedOn w:val="Normal"/>
    <w:link w:val="BalloonTextChar"/>
    <w:uiPriority w:val="99"/>
    <w:unhideWhenUsed/>
    <w:rsid w:val="001B1F77"/>
    <w:pPr>
      <w:spacing w:after="0"/>
    </w:pPr>
    <w:rPr>
      <w:rFonts w:cs="Segoe UI"/>
      <w:sz w:val="18"/>
      <w:szCs w:val="18"/>
    </w:rPr>
  </w:style>
  <w:style w:type="character" w:customStyle="1" w:styleId="BalloonTextChar">
    <w:name w:val="Balloon Text Char"/>
    <w:basedOn w:val="DefaultParagraphFont"/>
    <w:link w:val="BalloonText"/>
    <w:uiPriority w:val="99"/>
    <w:rsid w:val="001B1F77"/>
    <w:rPr>
      <w:rFonts w:cs="Segoe UI"/>
      <w:color w:val="auto"/>
      <w:sz w:val="18"/>
      <w:szCs w:val="18"/>
    </w:rPr>
  </w:style>
  <w:style w:type="paragraph" w:styleId="BodyText2">
    <w:name w:val="Body Text 2"/>
    <w:basedOn w:val="Normal"/>
    <w:link w:val="BodyText2Char"/>
    <w:uiPriority w:val="99"/>
    <w:unhideWhenUsed/>
    <w:rsid w:val="00594277"/>
    <w:pPr>
      <w:spacing w:line="480" w:lineRule="auto"/>
    </w:pPr>
  </w:style>
  <w:style w:type="character" w:customStyle="1" w:styleId="BodyText2Char">
    <w:name w:val="Body Text 2 Char"/>
    <w:basedOn w:val="DefaultParagraphFont"/>
    <w:link w:val="BodyText2"/>
    <w:uiPriority w:val="99"/>
    <w:rsid w:val="00594277"/>
    <w:rPr>
      <w:color w:val="auto"/>
      <w:sz w:val="20"/>
    </w:rPr>
  </w:style>
  <w:style w:type="paragraph" w:styleId="BodyText3">
    <w:name w:val="Body Text 3"/>
    <w:basedOn w:val="Normal"/>
    <w:link w:val="BodyText3Char"/>
    <w:uiPriority w:val="99"/>
    <w:semiHidden/>
    <w:rsid w:val="00594277"/>
    <w:rPr>
      <w:szCs w:val="16"/>
    </w:rPr>
  </w:style>
  <w:style w:type="character" w:customStyle="1" w:styleId="BodyText3Char">
    <w:name w:val="Body Text 3 Char"/>
    <w:basedOn w:val="DefaultParagraphFont"/>
    <w:link w:val="BodyText3"/>
    <w:uiPriority w:val="99"/>
    <w:semiHidden/>
    <w:rsid w:val="00594277"/>
    <w:rPr>
      <w:color w:val="auto"/>
      <w:sz w:val="20"/>
      <w:szCs w:val="16"/>
    </w:rPr>
  </w:style>
  <w:style w:type="paragraph" w:styleId="BodyTextIndent2">
    <w:name w:val="Body Text Indent 2"/>
    <w:basedOn w:val="Normal"/>
    <w:link w:val="BodyTextIndent2Char"/>
    <w:uiPriority w:val="99"/>
    <w:unhideWhenUsed/>
    <w:rsid w:val="00F8179B"/>
    <w:pPr>
      <w:spacing w:line="480" w:lineRule="auto"/>
      <w:ind w:left="720"/>
    </w:pPr>
  </w:style>
  <w:style w:type="character" w:customStyle="1" w:styleId="BodyTextIndent2Char">
    <w:name w:val="Body Text Indent 2 Char"/>
    <w:basedOn w:val="DefaultParagraphFont"/>
    <w:link w:val="BodyTextIndent2"/>
    <w:uiPriority w:val="99"/>
    <w:rsid w:val="00F8179B"/>
    <w:rPr>
      <w:color w:val="auto"/>
      <w:sz w:val="20"/>
    </w:rPr>
  </w:style>
  <w:style w:type="paragraph" w:styleId="BodyTextIndent3">
    <w:name w:val="Body Text Indent 3"/>
    <w:basedOn w:val="Normal"/>
    <w:link w:val="BodyTextIndent3Char"/>
    <w:uiPriority w:val="99"/>
    <w:semiHidden/>
    <w:rsid w:val="00F8179B"/>
    <w:pPr>
      <w:ind w:left="720"/>
    </w:pPr>
    <w:rPr>
      <w:szCs w:val="16"/>
    </w:rPr>
  </w:style>
  <w:style w:type="character" w:customStyle="1" w:styleId="BodyTextIndent3Char">
    <w:name w:val="Body Text Indent 3 Char"/>
    <w:basedOn w:val="DefaultParagraphFont"/>
    <w:link w:val="BodyTextIndent3"/>
    <w:uiPriority w:val="99"/>
    <w:semiHidden/>
    <w:rsid w:val="00F8179B"/>
    <w:rPr>
      <w:color w:val="auto"/>
      <w:sz w:val="20"/>
      <w:szCs w:val="16"/>
    </w:rPr>
  </w:style>
  <w:style w:type="character" w:styleId="BookTitle">
    <w:name w:val="Book Title"/>
    <w:basedOn w:val="DefaultParagraphFont"/>
    <w:uiPriority w:val="33"/>
    <w:semiHidden/>
    <w:rsid w:val="00F8179B"/>
    <w:rPr>
      <w:b/>
      <w:bCs/>
      <w:i/>
      <w:iCs/>
      <w:spacing w:val="5"/>
    </w:rPr>
  </w:style>
  <w:style w:type="paragraph" w:styleId="Caption">
    <w:name w:val="caption"/>
    <w:basedOn w:val="Normal"/>
    <w:next w:val="Normal"/>
    <w:uiPriority w:val="35"/>
    <w:semiHidden/>
    <w:unhideWhenUsed/>
    <w:qFormat/>
    <w:rsid w:val="001B1F77"/>
    <w:rPr>
      <w:i/>
      <w:iCs/>
      <w:sz w:val="18"/>
      <w:szCs w:val="18"/>
    </w:rPr>
  </w:style>
  <w:style w:type="paragraph" w:styleId="Closing">
    <w:name w:val="Closing"/>
    <w:basedOn w:val="Normal"/>
    <w:link w:val="ClosingChar"/>
    <w:uiPriority w:val="99"/>
    <w:unhideWhenUsed/>
    <w:rsid w:val="001B1F77"/>
  </w:style>
  <w:style w:type="character" w:customStyle="1" w:styleId="ClosingChar">
    <w:name w:val="Closing Char"/>
    <w:basedOn w:val="DefaultParagraphFont"/>
    <w:link w:val="Closing"/>
    <w:uiPriority w:val="99"/>
    <w:rsid w:val="001B1F77"/>
    <w:rPr>
      <w:color w:val="auto"/>
      <w:sz w:val="20"/>
    </w:rPr>
  </w:style>
  <w:style w:type="paragraph" w:styleId="DocumentMap">
    <w:name w:val="Document Map"/>
    <w:basedOn w:val="Normal"/>
    <w:link w:val="DocumentMapChar"/>
    <w:uiPriority w:val="99"/>
    <w:semiHidden/>
    <w:unhideWhenUsed/>
    <w:rsid w:val="00F8179B"/>
    <w:pPr>
      <w:spacing w:after="0"/>
    </w:pPr>
    <w:rPr>
      <w:rFonts w:cs="Segoe UI"/>
      <w:sz w:val="16"/>
      <w:szCs w:val="16"/>
    </w:rPr>
  </w:style>
  <w:style w:type="character" w:customStyle="1" w:styleId="DocumentMapChar">
    <w:name w:val="Document Map Char"/>
    <w:basedOn w:val="DefaultParagraphFont"/>
    <w:link w:val="DocumentMap"/>
    <w:uiPriority w:val="99"/>
    <w:semiHidden/>
    <w:rsid w:val="00F8179B"/>
    <w:rPr>
      <w:rFonts w:cs="Segoe UI"/>
      <w:color w:val="auto"/>
      <w:sz w:val="16"/>
      <w:szCs w:val="16"/>
    </w:rPr>
  </w:style>
  <w:style w:type="paragraph" w:styleId="EnvelopeAddress">
    <w:name w:val="envelope address"/>
    <w:basedOn w:val="Normal"/>
    <w:uiPriority w:val="99"/>
    <w:semiHidden/>
    <w:unhideWhenUsed/>
    <w:rsid w:val="001B1F77"/>
    <w:pPr>
      <w:framePr w:w="7920" w:h="1980" w:hRule="exact" w:hSpace="180" w:wrap="auto" w:hAnchor="page" w:xAlign="center" w:yAlign="bottom"/>
      <w:spacing w:after="0"/>
      <w:ind w:left="2880"/>
    </w:pPr>
    <w:rPr>
      <w:rFonts w:eastAsiaTheme="majorEastAsia" w:cstheme="majorBidi"/>
      <w:szCs w:val="24"/>
    </w:rPr>
  </w:style>
  <w:style w:type="paragraph" w:styleId="EndnoteText">
    <w:name w:val="endnote text"/>
    <w:basedOn w:val="Normal"/>
    <w:link w:val="EndnoteTextChar"/>
    <w:uiPriority w:val="99"/>
    <w:semiHidden/>
    <w:unhideWhenUsed/>
    <w:rsid w:val="001B1F77"/>
    <w:pPr>
      <w:spacing w:after="0"/>
    </w:pPr>
  </w:style>
  <w:style w:type="character" w:customStyle="1" w:styleId="EndnoteTextChar">
    <w:name w:val="Endnote Text Char"/>
    <w:basedOn w:val="DefaultParagraphFont"/>
    <w:link w:val="EndnoteText"/>
    <w:uiPriority w:val="99"/>
    <w:semiHidden/>
    <w:rsid w:val="001B1F77"/>
    <w:rPr>
      <w:color w:val="auto"/>
      <w:sz w:val="20"/>
      <w:szCs w:val="20"/>
    </w:rPr>
  </w:style>
  <w:style w:type="paragraph" w:styleId="Footer">
    <w:name w:val="footer"/>
    <w:basedOn w:val="Normal"/>
    <w:link w:val="FooterChar"/>
    <w:uiPriority w:val="99"/>
    <w:unhideWhenUsed/>
    <w:rsid w:val="00FC328B"/>
    <w:pPr>
      <w:tabs>
        <w:tab w:val="center" w:pos="4680"/>
        <w:tab w:val="right" w:pos="9360"/>
      </w:tabs>
      <w:spacing w:after="0"/>
      <w:jc w:val="left"/>
    </w:pPr>
    <w:rPr>
      <w:sz w:val="20"/>
    </w:rPr>
  </w:style>
  <w:style w:type="character" w:customStyle="1" w:styleId="FooterChar">
    <w:name w:val="Footer Char"/>
    <w:basedOn w:val="DefaultParagraphFont"/>
    <w:link w:val="Footer"/>
    <w:uiPriority w:val="99"/>
    <w:rsid w:val="00FC328B"/>
    <w:rPr>
      <w:color w:val="auto"/>
    </w:rPr>
  </w:style>
  <w:style w:type="paragraph" w:styleId="Header">
    <w:name w:val="header"/>
    <w:basedOn w:val="Normal"/>
    <w:link w:val="HeaderChar"/>
    <w:uiPriority w:val="99"/>
    <w:unhideWhenUsed/>
    <w:rsid w:val="001B1F77"/>
    <w:pPr>
      <w:tabs>
        <w:tab w:val="center" w:pos="4680"/>
        <w:tab w:val="right" w:pos="9360"/>
      </w:tabs>
      <w:spacing w:after="0"/>
    </w:pPr>
  </w:style>
  <w:style w:type="character" w:customStyle="1" w:styleId="HeaderChar">
    <w:name w:val="Header Char"/>
    <w:basedOn w:val="DefaultParagraphFont"/>
    <w:link w:val="Header"/>
    <w:uiPriority w:val="99"/>
    <w:rsid w:val="001B1F77"/>
    <w:rPr>
      <w:color w:val="auto"/>
      <w:sz w:val="20"/>
    </w:rPr>
  </w:style>
  <w:style w:type="paragraph" w:styleId="Salutation">
    <w:name w:val="Salutation"/>
    <w:basedOn w:val="Normal"/>
    <w:next w:val="Normal"/>
    <w:link w:val="SalutationChar"/>
    <w:uiPriority w:val="99"/>
    <w:unhideWhenUsed/>
    <w:rsid w:val="001B1F77"/>
  </w:style>
  <w:style w:type="character" w:customStyle="1" w:styleId="SalutationChar">
    <w:name w:val="Salutation Char"/>
    <w:basedOn w:val="DefaultParagraphFont"/>
    <w:link w:val="Salutation"/>
    <w:uiPriority w:val="99"/>
    <w:rsid w:val="001B1F77"/>
    <w:rPr>
      <w:color w:val="auto"/>
      <w:sz w:val="20"/>
    </w:rPr>
  </w:style>
  <w:style w:type="paragraph" w:styleId="Signature">
    <w:name w:val="Signature"/>
    <w:basedOn w:val="Normal"/>
    <w:link w:val="SignatureChar"/>
    <w:uiPriority w:val="99"/>
    <w:semiHidden/>
    <w:unhideWhenUsed/>
    <w:rsid w:val="00673A15"/>
    <w:pPr>
      <w:spacing w:after="0"/>
      <w:ind w:left="4320"/>
    </w:pPr>
  </w:style>
  <w:style w:type="character" w:customStyle="1" w:styleId="SignatureChar">
    <w:name w:val="Signature Char"/>
    <w:basedOn w:val="DefaultParagraphFont"/>
    <w:link w:val="Signature"/>
    <w:uiPriority w:val="99"/>
    <w:semiHidden/>
    <w:rsid w:val="00673A15"/>
    <w:rPr>
      <w:color w:val="auto"/>
      <w:sz w:val="20"/>
    </w:rPr>
  </w:style>
  <w:style w:type="paragraph" w:styleId="CommentText">
    <w:name w:val="annotation text"/>
    <w:basedOn w:val="Normal"/>
    <w:link w:val="CommentTextChar"/>
    <w:uiPriority w:val="99"/>
    <w:semiHidden/>
    <w:unhideWhenUsed/>
    <w:rsid w:val="001B1F77"/>
  </w:style>
  <w:style w:type="character" w:customStyle="1" w:styleId="CommentTextChar">
    <w:name w:val="Comment Text Char"/>
    <w:basedOn w:val="DefaultParagraphFont"/>
    <w:link w:val="CommentText"/>
    <w:uiPriority w:val="99"/>
    <w:semiHidden/>
    <w:rsid w:val="001B1F77"/>
    <w:rPr>
      <w:color w:val="auto"/>
      <w:sz w:val="20"/>
      <w:szCs w:val="20"/>
    </w:rPr>
  </w:style>
  <w:style w:type="paragraph" w:styleId="Index6">
    <w:name w:val="index 6"/>
    <w:basedOn w:val="Normal"/>
    <w:next w:val="Normal"/>
    <w:autoRedefine/>
    <w:uiPriority w:val="99"/>
    <w:unhideWhenUsed/>
    <w:rsid w:val="001B1F77"/>
    <w:pPr>
      <w:spacing w:after="0"/>
      <w:ind w:left="1200" w:hanging="200"/>
    </w:pPr>
  </w:style>
  <w:style w:type="paragraph" w:styleId="MessageHeader">
    <w:name w:val="Message Header"/>
    <w:basedOn w:val="Normal"/>
    <w:link w:val="MessageHeaderChar"/>
    <w:uiPriority w:val="99"/>
    <w:semiHidden/>
    <w:unhideWhenUsed/>
    <w:rsid w:val="001B1F77"/>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1B1F77"/>
    <w:rPr>
      <w:rFonts w:eastAsiaTheme="majorEastAsia" w:cstheme="majorBidi"/>
      <w:color w:val="auto"/>
      <w:sz w:val="20"/>
      <w:szCs w:val="24"/>
      <w:shd w:val="pct20" w:color="auto" w:fill="auto"/>
    </w:rPr>
  </w:style>
  <w:style w:type="paragraph" w:styleId="PlainText">
    <w:name w:val="Plain Text"/>
    <w:basedOn w:val="Normal"/>
    <w:link w:val="PlainTextChar"/>
    <w:uiPriority w:val="99"/>
    <w:semiHidden/>
    <w:unhideWhenUsed/>
    <w:rsid w:val="001B1F77"/>
    <w:pPr>
      <w:spacing w:after="0"/>
    </w:pPr>
    <w:rPr>
      <w:rFonts w:ascii="Consolas" w:hAnsi="Consolas"/>
    </w:rPr>
  </w:style>
  <w:style w:type="character" w:customStyle="1" w:styleId="PlainTextChar">
    <w:name w:val="Plain Text Char"/>
    <w:basedOn w:val="DefaultParagraphFont"/>
    <w:link w:val="PlainText"/>
    <w:uiPriority w:val="99"/>
    <w:semiHidden/>
    <w:rsid w:val="001B1F77"/>
    <w:rPr>
      <w:rFonts w:ascii="Consolas" w:hAnsi="Consolas"/>
      <w:color w:val="auto"/>
      <w:sz w:val="20"/>
    </w:rPr>
  </w:style>
  <w:style w:type="paragraph" w:styleId="Subtitle">
    <w:name w:val="Subtitle"/>
    <w:basedOn w:val="Normal"/>
    <w:next w:val="Normal"/>
    <w:link w:val="SubtitleChar"/>
    <w:uiPriority w:val="11"/>
    <w:unhideWhenUsed/>
    <w:qFormat/>
    <w:rsid w:val="009C68D8"/>
    <w:pPr>
      <w:keepNext/>
      <w:numPr>
        <w:ilvl w:val="1"/>
      </w:numPr>
    </w:pPr>
    <w:rPr>
      <w:rFonts w:ascii="Arial Gras" w:eastAsiaTheme="minorEastAsia" w:hAnsi="Arial Gras"/>
      <w:b/>
      <w:kern w:val="28"/>
      <w:szCs w:val="22"/>
    </w:rPr>
  </w:style>
  <w:style w:type="character" w:customStyle="1" w:styleId="SubtitleChar">
    <w:name w:val="Subtitle Char"/>
    <w:basedOn w:val="DefaultParagraphFont"/>
    <w:link w:val="Subtitle"/>
    <w:uiPriority w:val="11"/>
    <w:rsid w:val="009C68D8"/>
    <w:rPr>
      <w:rFonts w:ascii="Arial Gras" w:eastAsiaTheme="minorEastAsia" w:hAnsi="Arial Gras"/>
      <w:b/>
      <w:color w:val="auto"/>
      <w:kern w:val="28"/>
      <w:sz w:val="21"/>
      <w:szCs w:val="22"/>
    </w:rPr>
  </w:style>
  <w:style w:type="paragraph" w:styleId="Date">
    <w:name w:val="Date"/>
    <w:basedOn w:val="Normal"/>
    <w:next w:val="Normal"/>
    <w:link w:val="DateChar"/>
    <w:uiPriority w:val="99"/>
    <w:semiHidden/>
    <w:unhideWhenUsed/>
    <w:rsid w:val="00673A15"/>
  </w:style>
  <w:style w:type="character" w:customStyle="1" w:styleId="DateChar">
    <w:name w:val="Date Char"/>
    <w:basedOn w:val="DefaultParagraphFont"/>
    <w:link w:val="Date"/>
    <w:uiPriority w:val="99"/>
    <w:semiHidden/>
    <w:rsid w:val="00673A15"/>
    <w:rPr>
      <w:color w:val="auto"/>
      <w:sz w:val="20"/>
    </w:rPr>
  </w:style>
  <w:style w:type="paragraph" w:customStyle="1" w:styleId="Outline1">
    <w:name w:val="Outline1"/>
    <w:basedOn w:val="Normal"/>
    <w:qFormat/>
    <w:rsid w:val="00960DBB"/>
    <w:pPr>
      <w:numPr>
        <w:numId w:val="15"/>
      </w:numPr>
      <w:outlineLvl w:val="0"/>
    </w:pPr>
    <w:rPr>
      <w:rFonts w:cs="Times New Roman"/>
      <w:szCs w:val="22"/>
    </w:rPr>
  </w:style>
  <w:style w:type="paragraph" w:styleId="ListParagraph">
    <w:name w:val="List Paragraph"/>
    <w:basedOn w:val="Normal"/>
    <w:uiPriority w:val="34"/>
    <w:semiHidden/>
    <w:unhideWhenUsed/>
    <w:qFormat/>
    <w:rsid w:val="00F309DF"/>
    <w:pPr>
      <w:ind w:left="720"/>
    </w:pPr>
  </w:style>
  <w:style w:type="paragraph" w:customStyle="1" w:styleId="Outline2">
    <w:name w:val="Outline2"/>
    <w:basedOn w:val="Normal"/>
    <w:qFormat/>
    <w:rsid w:val="00960DBB"/>
    <w:pPr>
      <w:numPr>
        <w:ilvl w:val="1"/>
        <w:numId w:val="15"/>
      </w:numPr>
      <w:outlineLvl w:val="1"/>
    </w:pPr>
    <w:rPr>
      <w:rFonts w:cs="Times New Roman"/>
      <w:szCs w:val="22"/>
    </w:rPr>
  </w:style>
  <w:style w:type="paragraph" w:customStyle="1" w:styleId="Outline3">
    <w:name w:val="Outline3"/>
    <w:basedOn w:val="Normal"/>
    <w:qFormat/>
    <w:rsid w:val="00960DBB"/>
    <w:pPr>
      <w:numPr>
        <w:ilvl w:val="2"/>
        <w:numId w:val="15"/>
      </w:numPr>
      <w:outlineLvl w:val="2"/>
    </w:pPr>
    <w:rPr>
      <w:rFonts w:cs="Times New Roman"/>
      <w:szCs w:val="22"/>
    </w:rPr>
  </w:style>
  <w:style w:type="paragraph" w:styleId="List3">
    <w:name w:val="List 3"/>
    <w:basedOn w:val="Normal"/>
    <w:uiPriority w:val="99"/>
    <w:semiHidden/>
    <w:unhideWhenUsed/>
    <w:rsid w:val="004C7ECE"/>
    <w:pPr>
      <w:ind w:left="1080" w:hanging="360"/>
      <w:contextualSpacing/>
    </w:pPr>
  </w:style>
  <w:style w:type="paragraph" w:customStyle="1" w:styleId="Outline4">
    <w:name w:val="Outline4"/>
    <w:basedOn w:val="Normal"/>
    <w:qFormat/>
    <w:rsid w:val="00960DBB"/>
    <w:pPr>
      <w:numPr>
        <w:ilvl w:val="3"/>
        <w:numId w:val="15"/>
      </w:numPr>
      <w:outlineLvl w:val="3"/>
    </w:pPr>
    <w:rPr>
      <w:rFonts w:cs="Times New Roman"/>
      <w:szCs w:val="22"/>
    </w:rPr>
  </w:style>
  <w:style w:type="paragraph" w:styleId="List4">
    <w:name w:val="List 4"/>
    <w:basedOn w:val="Normal"/>
    <w:uiPriority w:val="99"/>
    <w:semiHidden/>
    <w:unhideWhenUsed/>
    <w:rsid w:val="004C7ECE"/>
    <w:pPr>
      <w:ind w:left="1440" w:hanging="360"/>
      <w:contextualSpacing/>
    </w:pPr>
  </w:style>
  <w:style w:type="paragraph" w:customStyle="1" w:styleId="Outline5">
    <w:name w:val="Outline5"/>
    <w:basedOn w:val="Normal"/>
    <w:qFormat/>
    <w:rsid w:val="00960DBB"/>
    <w:pPr>
      <w:numPr>
        <w:ilvl w:val="4"/>
        <w:numId w:val="15"/>
      </w:numPr>
      <w:outlineLvl w:val="4"/>
    </w:pPr>
    <w:rPr>
      <w:rFonts w:cs="Times New Roman"/>
      <w:szCs w:val="22"/>
    </w:rPr>
  </w:style>
  <w:style w:type="paragraph" w:styleId="List5">
    <w:name w:val="List 5"/>
    <w:basedOn w:val="Normal"/>
    <w:uiPriority w:val="99"/>
    <w:semiHidden/>
    <w:unhideWhenUsed/>
    <w:rsid w:val="004C7ECE"/>
    <w:pPr>
      <w:ind w:left="1800" w:hanging="360"/>
      <w:contextualSpacing/>
    </w:pPr>
  </w:style>
  <w:style w:type="character" w:customStyle="1" w:styleId="Prompt">
    <w:name w:val="Prompt"/>
    <w:rsid w:val="001F6206"/>
    <w:rPr>
      <w:color w:val="0000FF"/>
    </w:rPr>
  </w:style>
  <w:style w:type="paragraph" w:customStyle="1" w:styleId="Outline6">
    <w:name w:val="Outline6"/>
    <w:basedOn w:val="Normal"/>
    <w:qFormat/>
    <w:rsid w:val="004C7ECE"/>
    <w:pPr>
      <w:numPr>
        <w:ilvl w:val="5"/>
        <w:numId w:val="15"/>
      </w:numPr>
      <w:outlineLvl w:val="5"/>
    </w:pPr>
  </w:style>
  <w:style w:type="paragraph" w:customStyle="1" w:styleId="Outline7">
    <w:name w:val="Outline7"/>
    <w:basedOn w:val="Normal"/>
    <w:qFormat/>
    <w:rsid w:val="004C7ECE"/>
    <w:pPr>
      <w:numPr>
        <w:ilvl w:val="6"/>
        <w:numId w:val="15"/>
      </w:numPr>
      <w:outlineLvl w:val="6"/>
    </w:pPr>
  </w:style>
  <w:style w:type="paragraph" w:customStyle="1" w:styleId="Outline8">
    <w:name w:val="Outline8"/>
    <w:basedOn w:val="Normal"/>
    <w:qFormat/>
    <w:rsid w:val="004C7ECE"/>
    <w:pPr>
      <w:numPr>
        <w:ilvl w:val="7"/>
        <w:numId w:val="15"/>
      </w:numPr>
    </w:pPr>
  </w:style>
  <w:style w:type="paragraph" w:customStyle="1" w:styleId="Outline9">
    <w:name w:val="Outline9"/>
    <w:basedOn w:val="Normal"/>
    <w:rsid w:val="00610067"/>
    <w:pPr>
      <w:numPr>
        <w:ilvl w:val="8"/>
        <w:numId w:val="15"/>
      </w:numPr>
      <w:outlineLvl w:val="8"/>
    </w:pPr>
  </w:style>
  <w:style w:type="paragraph" w:styleId="CommentSubject">
    <w:name w:val="annotation subject"/>
    <w:basedOn w:val="Normal"/>
    <w:next w:val="CommentText"/>
    <w:link w:val="CommentSubjectChar"/>
    <w:uiPriority w:val="99"/>
    <w:semiHidden/>
    <w:unhideWhenUsed/>
    <w:rsid w:val="00E84EF6"/>
    <w:rPr>
      <w:b/>
      <w:bCs/>
    </w:rPr>
  </w:style>
  <w:style w:type="character" w:customStyle="1" w:styleId="CommentSubjectChar">
    <w:name w:val="Comment Subject Char"/>
    <w:basedOn w:val="CommentTextChar"/>
    <w:link w:val="CommentSubject"/>
    <w:uiPriority w:val="99"/>
    <w:semiHidden/>
    <w:rsid w:val="00E84EF6"/>
    <w:rPr>
      <w:b/>
      <w:bCs/>
      <w:color w:val="auto"/>
      <w:sz w:val="20"/>
      <w:szCs w:val="20"/>
    </w:rPr>
  </w:style>
  <w:style w:type="character" w:customStyle="1" w:styleId="Heading9Char">
    <w:name w:val="Heading 9 Char"/>
    <w:basedOn w:val="DefaultParagraphFont"/>
    <w:link w:val="Heading9"/>
    <w:uiPriority w:val="9"/>
    <w:semiHidden/>
    <w:rsid w:val="00FC328B"/>
    <w:rPr>
      <w:rFonts w:eastAsiaTheme="majorEastAsia" w:cstheme="majorBidi"/>
      <w:iCs/>
      <w:color w:val="auto"/>
      <w:sz w:val="21"/>
    </w:rPr>
  </w:style>
  <w:style w:type="paragraph" w:customStyle="1" w:styleId="TitleExhibit">
    <w:name w:val="Title Exhibit"/>
    <w:basedOn w:val="Normal"/>
    <w:next w:val="BodyText"/>
    <w:link w:val="TitleExhibitChar"/>
    <w:qFormat/>
    <w:rsid w:val="005B1BF0"/>
    <w:pPr>
      <w:jc w:val="center"/>
    </w:pPr>
    <w:rPr>
      <w:b/>
    </w:rPr>
  </w:style>
  <w:style w:type="character" w:customStyle="1" w:styleId="TitleExhibitChar">
    <w:name w:val="Title Exhibit Char"/>
    <w:basedOn w:val="DefaultParagraphFont"/>
    <w:link w:val="TitleExhibit"/>
    <w:rsid w:val="0018734C"/>
    <w:rPr>
      <w:b/>
      <w:sz w:val="21"/>
    </w:rPr>
  </w:style>
  <w:style w:type="paragraph" w:customStyle="1" w:styleId="Company">
    <w:name w:val="Company"/>
    <w:basedOn w:val="Normal"/>
    <w:qFormat/>
    <w:rsid w:val="00FC328B"/>
    <w:pPr>
      <w:spacing w:after="0"/>
      <w:ind w:left="720" w:right="144"/>
      <w:contextualSpacing/>
    </w:pPr>
  </w:style>
  <w:style w:type="paragraph" w:customStyle="1" w:styleId="Address">
    <w:name w:val="Address"/>
    <w:basedOn w:val="Company"/>
    <w:qFormat/>
    <w:rsid w:val="00FC328B"/>
  </w:style>
  <w:style w:type="paragraph" w:customStyle="1" w:styleId="JobTitle">
    <w:name w:val="Job Title"/>
    <w:basedOn w:val="Normal"/>
    <w:qFormat/>
    <w:rsid w:val="00C2471B"/>
    <w:pPr>
      <w:spacing w:after="0"/>
      <w:ind w:left="720" w:right="144"/>
      <w:contextualSpacing/>
    </w:pPr>
    <w:rPr>
      <w:sz w:val="20"/>
    </w:rPr>
  </w:style>
  <w:style w:type="table" w:customStyle="1" w:styleId="SE2Elegant">
    <w:name w:val="SE2 Elegant"/>
    <w:basedOn w:val="TableGrid"/>
    <w:uiPriority w:val="99"/>
    <w:rsid w:val="00E607F1"/>
    <w:pPr>
      <w:spacing w:before="100" w:beforeAutospacing="1" w:after="100" w:afterAutospacing="1"/>
    </w:pPr>
    <w:rPr>
      <w:rFonts w:asciiTheme="minorHAnsi" w:eastAsiaTheme="minorEastAsia" w:hAnsiTheme="minorHAnsi" w:cs="Times New Roman"/>
      <w:color w:val="000000"/>
      <w:sz w:val="18"/>
      <w:szCs w:val="22"/>
      <w:lang w:val="en-US" w:eastAsia="zh-CN"/>
    </w:rPr>
    <w:tblPr>
      <w:tblInd w:w="144" w:type="dxa"/>
      <w:tblBorders>
        <w:top w:val="single" w:sz="8" w:space="0" w:color="D9D4D0"/>
        <w:left w:val="none" w:sz="0" w:space="0" w:color="auto"/>
        <w:bottom w:val="single" w:sz="8" w:space="0" w:color="D9D4D0"/>
        <w:right w:val="none" w:sz="0" w:space="0" w:color="auto"/>
        <w:insideH w:val="single" w:sz="8" w:space="0" w:color="D9D4D0"/>
        <w:insideV w:val="none" w:sz="0" w:space="0" w:color="auto"/>
      </w:tblBorders>
      <w:tblCellMar>
        <w:top w:w="130" w:type="dxa"/>
        <w:left w:w="115" w:type="dxa"/>
        <w:bottom w:w="130" w:type="dxa"/>
        <w:right w:w="115" w:type="dxa"/>
      </w:tblCellMar>
    </w:tblPr>
    <w:tblStylePr w:type="firstRow">
      <w:pPr>
        <w:spacing w:beforeLines="0" w:before="100" w:beforeAutospacing="1" w:afterLines="0" w:after="100" w:afterAutospacing="1"/>
      </w:pPr>
      <w:rPr>
        <w:rFonts w:ascii="Arial" w:hAnsi="Arial" w:cs="Times New Roman"/>
        <w:b/>
        <w:i w:val="0"/>
        <w:color w:val="6F263D"/>
        <w:sz w:val="18"/>
      </w:rPr>
      <w:tblPr/>
      <w:tcPr>
        <w:shd w:val="clear" w:color="auto" w:fill="EDEBE9"/>
      </w:tcPr>
    </w:tblStylePr>
    <w:tblStylePr w:type="lastRow">
      <w:rPr>
        <w:rFonts w:cs="Times New Roman"/>
      </w:rPr>
      <w:tblPr/>
      <w:tcPr>
        <w:tcBorders>
          <w:top w:val="single" w:sz="8" w:space="0" w:color="6F263D"/>
          <w:left w:val="nil"/>
          <w:bottom w:val="nil"/>
          <w:right w:val="nil"/>
          <w:insideH w:val="nil"/>
          <w:insideV w:val="nil"/>
          <w:tl2br w:val="nil"/>
          <w:tr2bl w:val="nil"/>
        </w:tcBorders>
      </w:tcPr>
    </w:tblStylePr>
    <w:tblStylePr w:type="lastCol">
      <w:rPr>
        <w:rFonts w:cs="Times New Roman"/>
      </w:rPr>
      <w:tblPr/>
      <w:tcPr>
        <w:tcBorders>
          <w:top w:val="nil"/>
          <w:left w:val="single" w:sz="8" w:space="0" w:color="6F263D"/>
          <w:bottom w:val="nil"/>
          <w:right w:val="nil"/>
          <w:insideH w:val="nil"/>
          <w:insideV w:val="nil"/>
          <w:tl2br w:val="nil"/>
          <w:tr2bl w:val="nil"/>
        </w:tcBorders>
      </w:tcPr>
    </w:tblStylePr>
  </w:style>
  <w:style w:type="table" w:customStyle="1" w:styleId="SE1Standard">
    <w:name w:val="SE1 Standard"/>
    <w:basedOn w:val="TableNormal"/>
    <w:uiPriority w:val="99"/>
    <w:rsid w:val="00E607F1"/>
    <w:pPr>
      <w:spacing w:before="100" w:beforeAutospacing="1" w:after="100" w:afterAutospacing="1"/>
    </w:pPr>
    <w:rPr>
      <w:rFonts w:asciiTheme="minorHAnsi" w:eastAsiaTheme="minorEastAsia" w:hAnsiTheme="minorHAnsi" w:cs="Times New Roman"/>
      <w:color w:val="auto"/>
      <w:sz w:val="18"/>
      <w:lang w:val="en-US"/>
    </w:rPr>
    <w:tblPr>
      <w:tblStyleRowBandSize w:val="1"/>
      <w:tblStyleColBandSize w:val="1"/>
      <w:tblInd w:w="144"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130" w:type="dxa"/>
        <w:left w:w="115" w:type="dxa"/>
        <w:bottom w:w="130" w:type="dxa"/>
        <w:right w:w="115" w:type="dxa"/>
      </w:tblCellMar>
    </w:tblPr>
    <w:tcPr>
      <w:shd w:val="clear" w:color="auto" w:fill="EDEBE9"/>
    </w:tcPr>
    <w:tblStylePr w:type="firstRow">
      <w:pPr>
        <w:keepNext/>
        <w:spacing w:beforeLines="0" w:before="100" w:beforeAutospacing="1" w:afterLines="0" w:after="100" w:afterAutospacing="1"/>
        <w:jc w:val="left"/>
      </w:pPr>
      <w:rPr>
        <w:rFonts w:asciiTheme="minorHAnsi" w:hAnsiTheme="minorHAnsi" w:cs="Times New Roman"/>
        <w:b/>
        <w:color w:val="FFFFFF" w:themeColor="background1"/>
        <w:sz w:val="18"/>
        <w:szCs w:val="18"/>
      </w:rPr>
      <w:tblPr/>
      <w:tcPr>
        <w:shd w:val="clear" w:color="auto" w:fill="866D4B"/>
      </w:tcPr>
    </w:tblStylePr>
    <w:tblStylePr w:type="lastRow">
      <w:rPr>
        <w:rFonts w:asciiTheme="minorHAnsi" w:hAnsiTheme="minorHAnsi" w:cs="Times New Roman"/>
        <w:b/>
        <w:i w:val="0"/>
        <w:color w:val="000000" w:themeColor="text1"/>
      </w:rPr>
      <w:tblPr/>
      <w:tcPr>
        <w:tcBorders>
          <w:top w:val="single" w:sz="18" w:space="0" w:color="6F263D"/>
          <w:left w:val="nil"/>
          <w:bottom w:val="nil"/>
          <w:right w:val="nil"/>
          <w:insideH w:val="nil"/>
          <w:insideV w:val="single" w:sz="8" w:space="0" w:color="FFFFFF" w:themeColor="background1"/>
          <w:tl2br w:val="nil"/>
          <w:tr2bl w:val="nil"/>
        </w:tcBorders>
      </w:tcPr>
    </w:tblStylePr>
    <w:tblStylePr w:type="firstCol">
      <w:rPr>
        <w:rFonts w:asciiTheme="minorHAnsi" w:hAnsiTheme="minorHAnsi" w:cs="Times New Roman"/>
        <w:b/>
        <w:i w:val="0"/>
        <w:color w:val="FFFFFF" w:themeColor="background1"/>
      </w:rPr>
      <w:tblPr/>
      <w:tcPr>
        <w:shd w:val="clear" w:color="auto" w:fill="866D4B"/>
      </w:tcPr>
    </w:tblStylePr>
    <w:tblStylePr w:type="lastCol">
      <w:rPr>
        <w:rFonts w:asciiTheme="minorHAnsi" w:hAnsiTheme="minorHAnsi" w:cs="Times New Roman"/>
        <w:b/>
        <w:i w:val="0"/>
        <w:color w:val="244C5A"/>
      </w:rPr>
      <w:tblPr/>
      <w:tcPr>
        <w:tcBorders>
          <w:top w:val="single" w:sz="8" w:space="0" w:color="FFFFFF" w:themeColor="background1"/>
          <w:left w:val="single" w:sz="18" w:space="0" w:color="6F263D"/>
          <w:bottom w:val="single" w:sz="8" w:space="0" w:color="FFFFFF" w:themeColor="background1"/>
          <w:right w:val="nil"/>
          <w:insideH w:val="nil"/>
          <w:insideV w:val="nil"/>
          <w:tl2br w:val="nil"/>
          <w:tr2bl w:val="nil"/>
        </w:tcBorders>
      </w:tcPr>
    </w:tblStylePr>
    <w:tblStylePr w:type="band1Vert">
      <w:rPr>
        <w:rFonts w:cs="Times New Roman"/>
      </w:rPr>
      <w:tblPr/>
      <w:tcPr>
        <w:shd w:val="clear" w:color="auto" w:fill="D9D4D0"/>
      </w:tcPr>
    </w:tblStylePr>
    <w:tblStylePr w:type="band2Vert">
      <w:rPr>
        <w:rFonts w:cs="Times New Roman"/>
      </w:rPr>
      <w:tblPr/>
      <w:tcPr>
        <w:shd w:val="clear" w:color="auto" w:fill="E7E8E9"/>
      </w:tcPr>
    </w:tblStylePr>
    <w:tblStylePr w:type="band1Horz">
      <w:rPr>
        <w:rFonts w:cs="Times New Roman"/>
      </w:rPr>
      <w:tblPr/>
      <w:tcPr>
        <w:shd w:val="clear" w:color="auto" w:fill="D9D4D0"/>
      </w:tcPr>
    </w:tblStylePr>
    <w:tblStylePr w:type="band2Horz">
      <w:rPr>
        <w:rFonts w:cs="Times New Roman"/>
      </w:rPr>
      <w:tblPr/>
      <w:tcPr>
        <w:shd w:val="clear" w:color="auto" w:fill="EDEBE9"/>
      </w:tcPr>
    </w:tblStylePr>
  </w:style>
  <w:style w:type="table" w:customStyle="1" w:styleId="SELegal1">
    <w:name w:val="SE Legal 1"/>
    <w:basedOn w:val="TableNormal"/>
    <w:uiPriority w:val="99"/>
    <w:rsid w:val="00E607F1"/>
    <w:pPr>
      <w:spacing w:before="100" w:beforeAutospacing="1" w:after="100" w:afterAutospacing="1"/>
      <w:textboxTightWrap w:val="allLines"/>
    </w:pPr>
    <w:rPr>
      <w:rFonts w:eastAsiaTheme="minorEastAsia" w:cs="Times New Roman"/>
      <w:color w:val="auto"/>
      <w:lang w:val="en-US"/>
    </w:rPr>
    <w:tblPr>
      <w:tblInd w:w="1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30" w:type="dxa"/>
        <w:left w:w="115" w:type="dxa"/>
        <w:bottom w:w="130" w:type="dxa"/>
        <w:right w:w="115" w:type="dxa"/>
      </w:tblCellMar>
    </w:tblPr>
    <w:tblStylePr w:type="firstRow">
      <w:pPr>
        <w:keepNext/>
        <w:jc w:val="left"/>
      </w:pPr>
      <w:rPr>
        <w:rFonts w:asciiTheme="minorHAnsi" w:hAnsiTheme="minorHAnsi" w:cs="Times New Roman"/>
        <w:b/>
        <w:sz w:val="20"/>
      </w:rPr>
      <w:tblPr/>
      <w:trPr>
        <w:cantSplit/>
        <w:tblHeader/>
      </w:trPr>
      <w:tcPr>
        <w:tcBorders>
          <w:bottom w:val="single" w:sz="12" w:space="0" w:color="000000" w:themeColor="text1"/>
        </w:tcBorders>
        <w:shd w:val="clear" w:color="auto" w:fill="FFFFFF" w:themeFill="background1"/>
      </w:tcPr>
    </w:tblStylePr>
    <w:tblStylePr w:type="lastRow">
      <w:rPr>
        <w:rFonts w:cs="Times New Roman"/>
        <w:b/>
      </w:rPr>
      <w:tblPr/>
      <w:tcPr>
        <w:tcBorders>
          <w:top w:val="single" w:sz="12" w:space="0" w:color="000000" w:themeColor="text1"/>
          <w:bottom w:val="nil"/>
        </w:tcBorders>
      </w:tcPr>
    </w:tblStylePr>
    <w:tblStylePr w:type="firstCol">
      <w:pPr>
        <w:jc w:val="left"/>
      </w:pPr>
      <w:rPr>
        <w:rFonts w:cs="Times New Roman"/>
        <w:b/>
      </w:rPr>
      <w:tblPr/>
      <w:tcPr>
        <w:tcBorders>
          <w:right w:val="nil"/>
        </w:tcBorders>
      </w:tcPr>
    </w:tblStylePr>
    <w:tblStylePr w:type="lastCol">
      <w:rPr>
        <w:rFonts w:cs="Times New Roman"/>
        <w:b/>
      </w:rPr>
      <w:tblPr/>
      <w:tcPr>
        <w:tcBorders>
          <w:left w:val="single" w:sz="12" w:space="0" w:color="000000" w:themeColor="text1"/>
        </w:tcBorders>
      </w:tcPr>
    </w:tblStylePr>
  </w:style>
  <w:style w:type="table" w:customStyle="1" w:styleId="SELegal2">
    <w:name w:val="SE Legal 2"/>
    <w:basedOn w:val="TableNormal"/>
    <w:uiPriority w:val="99"/>
    <w:rsid w:val="00E607F1"/>
    <w:pPr>
      <w:spacing w:before="100" w:beforeAutospacing="1" w:after="100" w:afterAutospacing="1"/>
    </w:pPr>
    <w:rPr>
      <w:rFonts w:eastAsiaTheme="minorEastAsia" w:cs="Times New Roman"/>
      <w:color w:val="auto"/>
      <w:lang w:val="en-US"/>
    </w:rPr>
    <w:tblPr>
      <w:tblStyleRowBandSize w:val="1"/>
      <w:tblStyleColBandSize w:val="1"/>
      <w:tblInd w:w="1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30" w:type="dxa"/>
        <w:left w:w="115" w:type="dxa"/>
        <w:bottom w:w="130" w:type="dxa"/>
        <w:right w:w="115" w:type="dxa"/>
      </w:tblCellMar>
    </w:tblPr>
    <w:tblStylePr w:type="firstRow">
      <w:pPr>
        <w:keepNext/>
        <w:jc w:val="left"/>
      </w:pPr>
      <w:rPr>
        <w:rFonts w:asciiTheme="minorHAnsi" w:hAnsiTheme="minorHAnsi" w:cs="Times New Roman"/>
        <w:b/>
        <w:sz w:val="20"/>
      </w:rPr>
      <w:tblPr/>
      <w:trPr>
        <w:cantSplit/>
        <w:tblHeader/>
      </w:trPr>
      <w:tcPr>
        <w:tcBorders>
          <w:bottom w:val="nil"/>
        </w:tcBorders>
        <w:shd w:val="clear" w:color="auto" w:fill="D9D9D9" w:themeFill="background1" w:themeFillShade="D9"/>
      </w:tcPr>
    </w:tblStylePr>
    <w:tblStylePr w:type="lastRow">
      <w:rPr>
        <w:rFonts w:cs="Times New Roman"/>
        <w:b/>
      </w:rPr>
      <w:tblPr/>
      <w:tcPr>
        <w:tcBorders>
          <w:top w:val="single" w:sz="12" w:space="0" w:color="000000" w:themeColor="text1"/>
        </w:tcBorders>
        <w:shd w:val="clear" w:color="auto" w:fill="F2F2F2" w:themeFill="background1" w:themeFillShade="F2"/>
      </w:tcPr>
    </w:tblStylePr>
    <w:tblStylePr w:type="firstCol">
      <w:pPr>
        <w:jc w:val="left"/>
      </w:pPr>
      <w:rPr>
        <w:rFonts w:cs="Times New Roman"/>
        <w:b/>
      </w:rPr>
      <w:tblPr/>
      <w:tcPr>
        <w:shd w:val="clear" w:color="auto" w:fill="F2F2F2" w:themeFill="background1" w:themeFillShade="F2"/>
      </w:tcPr>
    </w:tblStylePr>
    <w:tblStylePr w:type="lastCol">
      <w:rPr>
        <w:rFonts w:cs="Times New Roman"/>
        <w:b/>
      </w:rPr>
      <w:tblPr/>
      <w:tcPr>
        <w:tcBorders>
          <w:left w:val="single" w:sz="12" w:space="0" w:color="000000" w:themeColor="text1"/>
        </w:tcBorders>
        <w:shd w:val="clear" w:color="auto" w:fill="F2F2F2" w:themeFill="background1" w:themeFillShade="F2"/>
      </w:tcPr>
    </w:tblStylePr>
    <w:tblStylePr w:type="band2Vert">
      <w:rPr>
        <w:rFonts w:cs="Times New Roman"/>
      </w:rPr>
      <w:tblPr/>
      <w:tcPr>
        <w:shd w:val="clear" w:color="auto" w:fill="F2F2F2" w:themeFill="background1" w:themeFillShade="F2"/>
      </w:tcPr>
    </w:tblStylePr>
  </w:style>
  <w:style w:type="table" w:styleId="TableGrid">
    <w:name w:val="Table Grid"/>
    <w:basedOn w:val="TableNormal"/>
    <w:uiPriority w:val="39"/>
    <w:rsid w:val="00E607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itle">
    <w:name w:val="Calendar Title"/>
    <w:basedOn w:val="Normal"/>
    <w:rsid w:val="001B69C2"/>
    <w:pPr>
      <w:framePr w:hSpace="180" w:wrap="around" w:vAnchor="text" w:hAnchor="text" w:y="1"/>
      <w:spacing w:after="0"/>
      <w:jc w:val="center"/>
    </w:pPr>
    <w:rPr>
      <w:rFonts w:eastAsia="Times New Roman" w:cs="Arial"/>
      <w:sz w:val="16"/>
      <w:szCs w:val="32"/>
      <w:lang w:val="en-US"/>
    </w:rPr>
  </w:style>
  <w:style w:type="paragraph" w:customStyle="1" w:styleId="DayName">
    <w:name w:val="Day Name"/>
    <w:basedOn w:val="Normal"/>
    <w:rsid w:val="00471AEB"/>
    <w:pPr>
      <w:keepLines/>
      <w:spacing w:after="0"/>
      <w:ind w:left="144" w:hanging="144"/>
      <w:jc w:val="center"/>
    </w:pPr>
    <w:rPr>
      <w:rFonts w:eastAsia="Times New Roman" w:cs="Times New Roman"/>
      <w:sz w:val="16"/>
      <w:szCs w:val="3276"/>
      <w:lang w:val="en-US"/>
    </w:rPr>
  </w:style>
  <w:style w:type="paragraph" w:customStyle="1" w:styleId="DayNumber">
    <w:name w:val="Day Number"/>
    <w:basedOn w:val="Normal"/>
    <w:rsid w:val="00471AEB"/>
    <w:pPr>
      <w:spacing w:after="0"/>
    </w:pPr>
    <w:rPr>
      <w:rFonts w:eastAsia="Times New Roman" w:cs="Times New Roman"/>
      <w:sz w:val="12"/>
      <w:szCs w:val="3276"/>
      <w:lang w:val="en-US"/>
    </w:rPr>
  </w:style>
  <w:style w:type="paragraph" w:customStyle="1" w:styleId="DayText">
    <w:name w:val="Day Text"/>
    <w:basedOn w:val="Normal"/>
    <w:rsid w:val="00471AEB"/>
    <w:pPr>
      <w:spacing w:after="0"/>
    </w:pPr>
    <w:rPr>
      <w:rFonts w:eastAsia="Times New Roman" w:cs="Times New Roman"/>
      <w:sz w:val="12"/>
      <w:szCs w:val="3276"/>
      <w:lang w:val="en-US"/>
    </w:rPr>
  </w:style>
  <w:style w:type="paragraph" w:customStyle="1" w:styleId="FolderName">
    <w:name w:val="Folder Name"/>
    <w:basedOn w:val="DayName"/>
    <w:rsid w:val="00471AEB"/>
    <w:pPr>
      <w:keepNext/>
      <w:jc w:val="left"/>
    </w:pPr>
    <w:rPr>
      <w:sz w:val="12"/>
    </w:rPr>
  </w:style>
  <w:style w:type="paragraph" w:customStyle="1" w:styleId="Definitions">
    <w:name w:val="Definitions"/>
    <w:basedOn w:val="Normal"/>
    <w:rsid w:val="00EC7380"/>
    <w:rPr>
      <w:lang w:val="fr-CA"/>
    </w:rPr>
  </w:style>
  <w:style w:type="table" w:customStyle="1" w:styleId="TableNormal1">
    <w:name w:val="Table Normal1"/>
    <w:uiPriority w:val="2"/>
    <w:semiHidden/>
    <w:unhideWhenUsed/>
    <w:qFormat/>
    <w:rsid w:val="009C68D8"/>
    <w:pPr>
      <w:widowControl w:val="0"/>
      <w:autoSpaceDE w:val="0"/>
      <w:autoSpaceDN w:val="0"/>
      <w:spacing w:after="0"/>
    </w:pPr>
    <w:rPr>
      <w:rFonts w:asciiTheme="minorHAnsi" w:hAnsiTheme="minorHAns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68D8"/>
    <w:pPr>
      <w:widowControl w:val="0"/>
      <w:autoSpaceDE w:val="0"/>
      <w:autoSpaceDN w:val="0"/>
      <w:spacing w:before="166" w:after="0"/>
      <w:ind w:left="93"/>
      <w:jc w:val="left"/>
    </w:pPr>
    <w:rPr>
      <w:rFonts w:ascii="Calibri" w:eastAsia="Calibri" w:hAnsi="Calibri" w:cs="Calibri"/>
      <w:sz w:val="22"/>
      <w:szCs w:val="22"/>
      <w:lang w:val="en-US"/>
    </w:rPr>
  </w:style>
  <w:style w:type="character" w:styleId="Hyperlink">
    <w:name w:val="Hyperlink"/>
    <w:basedOn w:val="DefaultParagraphFont"/>
    <w:uiPriority w:val="99"/>
    <w:unhideWhenUsed/>
    <w:rsid w:val="00B76D60"/>
    <w:rPr>
      <w:color w:val="66435A" w:themeColor="hyperlink"/>
      <w:u w:val="single"/>
    </w:rPr>
  </w:style>
  <w:style w:type="character" w:styleId="UnresolvedMention">
    <w:name w:val="Unresolved Mention"/>
    <w:basedOn w:val="DefaultParagraphFont"/>
    <w:uiPriority w:val="99"/>
    <w:semiHidden/>
    <w:unhideWhenUsed/>
    <w:rsid w:val="00B76D60"/>
    <w:rPr>
      <w:color w:val="605E5C"/>
      <w:shd w:val="clear" w:color="auto" w:fill="E1DFDD"/>
    </w:rPr>
  </w:style>
  <w:style w:type="paragraph" w:customStyle="1" w:styleId="DocID">
    <w:name w:val="DocID"/>
    <w:basedOn w:val="Footer"/>
    <w:next w:val="Footer"/>
    <w:link w:val="DocIDChar"/>
    <w:rsid w:val="00255F8C"/>
    <w:pPr>
      <w:tabs>
        <w:tab w:val="clear" w:pos="4680"/>
        <w:tab w:val="clear" w:pos="9360"/>
      </w:tabs>
    </w:pPr>
    <w:rPr>
      <w:rFonts w:eastAsia="Times New Roman" w:cs="Arial"/>
      <w:sz w:val="12"/>
      <w:lang w:val="en-US"/>
    </w:rPr>
  </w:style>
  <w:style w:type="character" w:customStyle="1" w:styleId="DocIDChar">
    <w:name w:val="DocID Char"/>
    <w:basedOn w:val="SubtitleChar"/>
    <w:link w:val="DocID"/>
    <w:rsid w:val="00255F8C"/>
    <w:rPr>
      <w:rFonts w:ascii="Arial Gras" w:eastAsia="Times New Roman" w:hAnsi="Arial Gras" w:cs="Arial"/>
      <w:b w:val="0"/>
      <w:color w:val="auto"/>
      <w:kern w:val="28"/>
      <w:sz w:val="12"/>
      <w:szCs w:val="22"/>
      <w:lang w:val="en-US" w:eastAsia="en-US"/>
    </w:rPr>
  </w:style>
  <w:style w:type="character" w:styleId="FootnoteReference">
    <w:name w:val="footnote reference"/>
    <w:basedOn w:val="DefaultParagraphFont"/>
    <w:uiPriority w:val="99"/>
    <w:semiHidden/>
    <w:unhideWhenUsed/>
    <w:rsid w:val="006F6987"/>
    <w:rPr>
      <w:vertAlign w:val="superscript"/>
    </w:rPr>
  </w:style>
  <w:style w:type="character" w:styleId="Strong">
    <w:name w:val="Strong"/>
    <w:basedOn w:val="DefaultParagraphFont"/>
    <w:uiPriority w:val="22"/>
    <w:qFormat/>
    <w:rsid w:val="006F6987"/>
    <w:rPr>
      <w:b/>
    </w:rPr>
  </w:style>
  <w:style w:type="paragraph" w:styleId="Revision">
    <w:name w:val="Revision"/>
    <w:hidden/>
    <w:uiPriority w:val="99"/>
    <w:semiHidden/>
    <w:rsid w:val="002D09A9"/>
    <w:pPr>
      <w:spacing w:after="0"/>
    </w:pPr>
    <w:rPr>
      <w:color w:val="auto"/>
      <w:sz w:val="21"/>
    </w:rPr>
  </w:style>
  <w:style w:type="character" w:customStyle="1" w:styleId="Tabletext1Char">
    <w:name w:val="Table text 1 Char"/>
    <w:basedOn w:val="DefaultParagraphFont"/>
    <w:link w:val="Tabletext1"/>
    <w:locked/>
    <w:rsid w:val="00520302"/>
    <w:rPr>
      <w:rFonts w:ascii="Times New Roman" w:hAnsi="Times New Roman" w:cs="Times New Roman"/>
      <w:color w:val="auto"/>
      <w:kern w:val="2"/>
      <w:sz w:val="18"/>
      <w:szCs w:val="18"/>
      <w:lang w:val="en-US"/>
    </w:rPr>
  </w:style>
  <w:style w:type="paragraph" w:customStyle="1" w:styleId="Tabletext1">
    <w:name w:val="Table text 1"/>
    <w:basedOn w:val="Normal"/>
    <w:link w:val="Tabletext1Char"/>
    <w:qFormat/>
    <w:rsid w:val="00520302"/>
    <w:pPr>
      <w:spacing w:before="60" w:after="60"/>
      <w:jc w:val="left"/>
    </w:pPr>
    <w:rPr>
      <w:rFonts w:ascii="Times New Roman" w:hAnsi="Times New Roman" w:cs="Times New Roman"/>
      <w:kern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E.c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ell.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rishna.somers@bell.ca" TargetMode="External"/><Relationship Id="rId4" Type="http://schemas.openxmlformats.org/officeDocument/2006/relationships/webSettings" Target="webSettings.xml"/><Relationship Id="rId9" Type="http://schemas.openxmlformats.org/officeDocument/2006/relationships/hyperlink" Target="mailto:media@bell.c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SE Primary">
  <a:themeElements>
    <a:clrScheme name="SE Primary">
      <a:dk1>
        <a:srgbClr val="000000"/>
      </a:dk1>
      <a:lt1>
        <a:srgbClr val="FFFFFF"/>
      </a:lt1>
      <a:dk2>
        <a:srgbClr val="6F263D"/>
      </a:dk2>
      <a:lt2>
        <a:srgbClr val="A5BFA7"/>
      </a:lt2>
      <a:accent1>
        <a:srgbClr val="866D4B"/>
      </a:accent1>
      <a:accent2>
        <a:srgbClr val="A0D1CA"/>
      </a:accent2>
      <a:accent3>
        <a:srgbClr val="66435A"/>
      </a:accent3>
      <a:accent4>
        <a:srgbClr val="C7B582"/>
      </a:accent4>
      <a:accent5>
        <a:srgbClr val="6B8F9C"/>
      </a:accent5>
      <a:accent6>
        <a:srgbClr val="9EA6B4"/>
      </a:accent6>
      <a:hlink>
        <a:srgbClr val="66435A"/>
      </a:hlink>
      <a:folHlink>
        <a:srgbClr val="9EA6B4"/>
      </a:folHlink>
    </a:clrScheme>
    <a:fontScheme name="SE Fonts">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E Primary" id="{76848A07-B87B-4FFC-9FF8-EB0DCB2D45CE}" vid="{73B4FEDF-DB89-4B62-AF64-84529A9EFE65}"/>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1717</Words>
  <Characters>9790</Characters>
  <Application>Microsoft Office Word</Application>
  <DocSecurity>0</DocSecurity>
  <Lines>81</Lines>
  <Paragraphs>22</Paragraphs>
  <ScaleCrop>false</ScaleCrop>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Laurin, Meagan</dc:creator>
  <cp:keywords/>
  <cp:lastModifiedBy>Constantin, Laurent</cp:lastModifiedBy>
  <cp:revision>8</cp:revision>
  <cp:lastPrinted>1900-01-01T05:00:00Z</cp:lastPrinted>
  <dcterms:created xsi:type="dcterms:W3CDTF">2026-06-04T15:12:00Z</dcterms:created>
  <dcterms:modified xsi:type="dcterms:W3CDTF">2026-06-09T18:06:00Z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151075172</vt:lpwstr>
  </property>
  <property fmtid="{D5CDD505-2E9C-101B-9397-08002B2CF9AE}" pid="3" name="CUS_DocIDChunk0">
    <vt:lpwstr>151075172</vt:lpwstr>
  </property>
  <property fmtid="{D5CDD505-2E9C-101B-9397-08002B2CF9AE}" pid="4" name="CUS_DocIDActiveBits">
    <vt:lpwstr>32768</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FormatDateTime">
    <vt:lpwstr>M/d/yy</vt:lpwstr>
  </property>
</Properties>
</file>